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32"/>
        </w:rPr>
        <w:t>Standard Operating Procedure</w:t>
      </w:r>
    </w:p>
    <w:p>
      <w:r>
        <w:rPr>
          <w:b/>
          <w:sz w:val="26"/>
        </w:rPr>
        <w:t>Job-Specific Staff Training</w:t>
      </w:r>
    </w:p>
    <w:p>
      <w:r>
        <w:t>«Hospital Name» — Supports HRM.5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9680"/>
      </w:tblGrid>
      <w:tr>
        <w:tc>
          <w:tcPr>
            <w:tcW w:type="dxa" w:w="9680"/>
            <w:shd w:val="clear" w:fill="EAF7EA"/>
          </w:tcPr>
          <w:p>
            <w:r/>
            <w:r>
              <w:rPr>
                <w:b/>
                <w:sz w:val="22"/>
              </w:rPr>
              <w:t>Why does this SOP exist? (read this first if you're new)</w:t>
            </w:r>
          </w:p>
          <w:p>
            <w:r>
              <w:rPr>
                <w:sz w:val="20"/>
              </w:rPr>
              <w:t>This policy explains the job-specific training «Hospital Name» provides beyond induction, based on what a staff member's role actually requires. This policy does not cover the clinical procedures themselves for blood transfusion, vulnerable-patient care, control and restraint, or patient communication — those are covered in other hospital policies. This policy is the staff training layer for those procedures. If you're new to this SOP, the short version is: follow the numbered steps below in order — they exist because skipping one of them is exactly how an unqualified, unverified or unsupervised member of staff ends up providing care they were never checked or authorised for.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420"/>
        <w:gridCol w:w="2420"/>
        <w:gridCol w:w="2420"/>
        <w:gridCol w:w="2420"/>
      </w:tblGrid>
      <w:tr>
        <w:tc>
          <w:tcPr>
            <w:tcW w:type="dxa" w:w="2420"/>
            <w:shd w:val="clear" w:fill="D9E2F3"/>
          </w:tcPr>
          <w:p>
            <w:r/>
            <w:r>
              <w:rPr>
                <w:b/>
                <w:sz w:val="20"/>
              </w:rPr>
              <w:t>SOP No.</w:t>
            </w:r>
          </w:p>
        </w:tc>
        <w:tc>
          <w:tcPr>
            <w:tcW w:type="dxa" w:w="2420"/>
          </w:tcPr>
          <w:p>
            <w:r/>
            <w:r>
              <w:rPr>
                <w:b w:val="0"/>
                <w:sz w:val="20"/>
              </w:rPr>
              <w:t>[Hospital to define]</w:t>
            </w:r>
          </w:p>
        </w:tc>
        <w:tc>
          <w:tcPr>
            <w:tcW w:type="dxa" w:w="2420"/>
            <w:shd w:val="clear" w:fill="D9E2F3"/>
          </w:tcPr>
          <w:p>
            <w:r/>
            <w:r>
              <w:rPr>
                <w:b/>
                <w:sz w:val="20"/>
              </w:rPr>
              <w:t>Version</w:t>
            </w:r>
          </w:p>
        </w:tc>
        <w:tc>
          <w:tcPr>
            <w:tcW w:type="dxa" w:w="2420"/>
          </w:tcPr>
          <w:p>
            <w:r/>
            <w:r>
              <w:rPr>
                <w:b w:val="0"/>
                <w:sz w:val="20"/>
              </w:rPr>
              <w:t>1.0</w:t>
            </w:r>
          </w:p>
        </w:tc>
      </w:tr>
      <w:tr>
        <w:tc>
          <w:tcPr>
            <w:tcW w:type="dxa" w:w="2420"/>
            <w:shd w:val="clear" w:fill="D9E2F3"/>
          </w:tcPr>
          <w:p>
            <w:r/>
            <w:r>
              <w:rPr>
                <w:b/>
                <w:sz w:val="20"/>
              </w:rPr>
              <w:t>Effective Date</w:t>
            </w:r>
          </w:p>
        </w:tc>
        <w:tc>
          <w:tcPr>
            <w:tcW w:type="dxa" w:w="2420"/>
          </w:tcPr>
          <w:p>
            <w:r/>
            <w:r>
              <w:rPr>
                <w:b w:val="0"/>
                <w:sz w:val="20"/>
              </w:rPr>
              <w:t>________</w:t>
            </w:r>
          </w:p>
        </w:tc>
        <w:tc>
          <w:tcPr>
            <w:tcW w:type="dxa" w:w="2420"/>
            <w:shd w:val="clear" w:fill="D9E2F3"/>
          </w:tcPr>
          <w:p>
            <w:r/>
            <w:r>
              <w:rPr>
                <w:b/>
                <w:sz w:val="20"/>
              </w:rPr>
              <w:t>Review Frequency</w:t>
            </w:r>
          </w:p>
        </w:tc>
        <w:tc>
          <w:tcPr>
            <w:tcW w:type="dxa" w:w="2420"/>
          </w:tcPr>
          <w:p>
            <w:r/>
            <w:r>
              <w:rPr>
                <w:b w:val="0"/>
                <w:sz w:val="20"/>
              </w:rPr>
              <w:t>Annual, or on change</w:t>
            </w:r>
          </w:p>
        </w:tc>
      </w:tr>
      <w:tr>
        <w:tc>
          <w:tcPr>
            <w:tcW w:type="dxa" w:w="2420"/>
            <w:shd w:val="clear" w:fill="D9E2F3"/>
          </w:tcPr>
          <w:p>
            <w:r/>
            <w:r>
              <w:rPr>
                <w:b/>
                <w:sz w:val="20"/>
              </w:rPr>
              <w:t>Prepared By</w:t>
            </w:r>
          </w:p>
        </w:tc>
        <w:tc>
          <w:tcPr>
            <w:tcW w:type="dxa" w:w="7260"/>
            <w:gridSpan w:val="3"/>
          </w:tcPr>
          <w:p>
            <w:r/>
            <w:r>
              <w:rPr>
                <w:b w:val="0"/>
                <w:sz w:val="20"/>
              </w:rPr>
              <w:t>Quality Coordinator   Name: ________   Signature: ________</w:t>
            </w:r>
          </w:p>
        </w:tc>
      </w:tr>
      <w:tr>
        <w:tc>
          <w:tcPr>
            <w:tcW w:type="dxa" w:w="2420"/>
            <w:shd w:val="clear" w:fill="D9E2F3"/>
          </w:tcPr>
          <w:p>
            <w:r/>
            <w:r>
              <w:rPr>
                <w:b/>
                <w:sz w:val="20"/>
              </w:rPr>
              <w:t>Approved By</w:t>
            </w:r>
          </w:p>
        </w:tc>
        <w:tc>
          <w:tcPr>
            <w:tcW w:type="dxa" w:w="7260"/>
            <w:gridSpan w:val="3"/>
          </w:tcPr>
          <w:p>
            <w:r/>
            <w:r>
              <w:rPr>
                <w:b w:val="0"/>
                <w:sz w:val="20"/>
              </w:rPr>
              <w:t>Medical Superintendent   Name: ________   Signature: ________</w:t>
            </w:r>
          </w:p>
        </w:tc>
      </w:tr>
    </w:tbl>
    <w:p>
      <w:pPr>
        <w:pStyle w:val="Heading1"/>
      </w:pPr>
      <w:r>
        <w:t>1. Purpose</w:t>
      </w:r>
    </w:p>
    <w:p>
      <w:r>
        <w:t>This policy explains the job-specific training «Hospital Name» provides beyond induction, based on what a staff member's role actually requires. This policy does not cover the clinical procedures themselves for blood transfusion, vulnerable-patient care, control and restraint, or patient communication — those are covered in other hospital policies. This policy is the staff training layer for those procedures.</w:t>
      </w:r>
    </w:p>
    <w:p>
      <w:pPr>
        <w:pStyle w:val="Heading1"/>
      </w:pPr>
      <w:r>
        <w:t>2. Scope</w:t>
      </w:r>
    </w:p>
    <w:p>
      <w:r>
        <w:t>This policy applies to the HR In-Charge / Personnel Officer, department heads, and every staff member whose role requires blood-handling, vulnerable-patient care, restraint, communication, CPR, or infection-control skills.</w:t>
      </w:r>
    </w:p>
    <w:p>
      <w:pPr>
        <w:pStyle w:val="Heading1"/>
      </w:pPr>
      <w:r>
        <w:t>3. Responsibility</w:t>
      </w:r>
    </w:p>
    <w:p>
      <w:r>
        <w:t xml:space="preserve">HR In-Charge / Personnel Officer: </w:t>
      </w:r>
      <w:r>
        <w:t>owns recruitment, training records, personal files and the day-to-day running of this policy, and keeps the required records current.</w:t>
      </w:r>
    </w:p>
    <w:p>
      <w:r>
        <w:t xml:space="preserve">Medical Superintendent: </w:t>
      </w:r>
      <w:r>
        <w:t>escalation point for any unresolved gap, and approves the workforce plan, contingency plan and credentialing/privileging decisions.</w:t>
      </w:r>
    </w:p>
    <w:p>
      <w:r>
        <w:t xml:space="preserve">Department Heads / Heads of Service: </w:t>
      </w:r>
      <w:r>
        <w:t>identify their own department's staffing, training and credentialing needs, and support this policy's records at department level.</w:t>
      </w:r>
    </w:p>
    <w:p>
      <w:r>
        <w:t xml:space="preserve">Quality Coordinator: </w:t>
      </w:r>
      <w:r>
        <w:t>audits this policy periodically, checks records against the steps below, and flags gaps for corrective action.</w:t>
      </w:r>
    </w:p>
    <w:p>
      <w:pPr>
        <w:pStyle w:val="Heading1"/>
      </w:pPr>
      <w:r>
        <w:t>4. Plain-Language Glossary</w:t>
      </w:r>
    </w:p>
    <w:p>
      <w:r>
        <w:t>If a word below is unfamiliar, this is what it means in this SOP:</w:t>
      </w:r>
    </w:p>
    <w:p>
      <w:pPr>
        <w:pStyle w:val="ListParagraph"/>
      </w:pPr>
      <w:r>
        <w:rPr>
          <w:b/>
        </w:rPr>
        <w:t xml:space="preserve">ACLS (Advanced Cardiovascular Life Support): </w:t>
      </w:r>
      <w:r>
        <w:t>The advanced-level resuscitation course for doctors and nurses managing adult cardiac arrest and peri-arrest emergencies, typically required in ICU/emergency settings.</w:t>
      </w:r>
    </w:p>
    <w:p>
      <w:pPr>
        <w:pStyle w:val="ListParagraph"/>
      </w:pPr>
      <w:r>
        <w:rPr>
          <w:b/>
        </w:rPr>
        <w:t xml:space="preserve">PALS (Pediatric Advanced Life Support): </w:t>
      </w:r>
      <w:r>
        <w:t>The advanced-level resuscitation course for managing a child in cardiac or respiratory arrest.</w:t>
      </w:r>
    </w:p>
    <w:p>
      <w:pPr>
        <w:pStyle w:val="ListParagraph"/>
      </w:pPr>
      <w:r>
        <w:rPr>
          <w:b/>
        </w:rPr>
        <w:t xml:space="preserve">ATLS (Advanced Trauma Life Support): </w:t>
      </w:r>
      <w:r>
        <w:t>The American College of Surgeons' structured course for the first-hour management of a severely injured trauma patient.</w:t>
      </w:r>
    </w:p>
    <w:p>
      <w:pPr>
        <w:pStyle w:val="ListParagraph"/>
      </w:pPr>
      <w:r>
        <w:rPr>
          <w:b/>
        </w:rPr>
        <w:t xml:space="preserve">NRP (Neonatal Resuscitation Program): </w:t>
      </w:r>
      <w:r>
        <w:t>The advanced-level resuscitation course for managing a newborn who fails to breathe or maintain circulation at birth.</w:t>
      </w:r>
    </w:p>
    <w:p>
      <w:pPr>
        <w:pStyle w:val="Heading1"/>
      </w:pPr>
      <w:r>
        <w:t>5. Procedure</w:t>
      </w:r>
    </w:p>
    <w:p>
      <w:pPr>
        <w:pStyle w:val="Heading2"/>
      </w:pPr>
      <w:r>
        <w:t>5.1 Train staff on blood and blood product handling</w:t>
      </w:r>
    </w:p>
    <w:p>
      <w:r>
        <w:rPr>
          <w:b/>
          <w:i/>
        </w:rPr>
        <w:t xml:space="preserve">Why this step matters: </w:t>
      </w:r>
      <w:r>
        <w:rPr>
          <w:i/>
        </w:rPr>
        <w:t>Untrained staff handling blood or blood products risk a missed consent step, mishandled transport, or an unrecognised transfusion reaction — this is the staff-training layer behind the blood-transfusion policy itself. NABH checks this as part of how a genuinely competent, safe workforce is actually built and kept, not just what's written about it.</w:t>
      </w:r>
    </w:p>
    <w:p>
      <w:r>
        <w:t>1. Doctors, nurses, technicians and staff who transport blood from the blood bank or storage unit are trained specifically in safe handling of blood and blood products.</w:t>
      </w:r>
    </w:p>
    <w:p>
      <w:r>
        <w:t>2. Training covers safe transport, obtaining informed consent, the documentation required, and identifying and handling a transfusion reaction — see the technical source below.</w:t>
      </w:r>
    </w:p>
    <w:p>
      <w:r>
        <w:t>3. Training also covers how to educate the patient and family about donation, where relevant to the staff member's role.</w:t>
      </w:r>
    </w:p>
    <w:p>
      <w:r>
        <w:t>4. This training record is kept separately from the blood-transfusion-service practice record itself (covered elsewhere) — this element is specifically the staff-training layer. (Records 1–2)</w:t>
      </w:r>
    </w:p>
    <w:p>
      <w:r>
        <w:rPr>
          <w:b/>
          <w:i/>
          <w:sz w:val="18"/>
        </w:rPr>
        <w:t xml:space="preserve">Technical source(s) for these steps: </w:t>
      </w:r>
    </w:p>
    <w:p>
      <w:pPr>
        <w:pStyle w:val="ListParagraph"/>
      </w:pPr>
      <w:hyperlink r:id="rId9">
        <w:r>
          <w:rPr>
            <w:color w:val="0563C1"/>
            <w:u w:val="single"/>
          </w:rPr>
          <w:t>AABB. Standards for Blood Banks and Transfusion Services.</w:t>
        </w:r>
      </w:hyperlink>
    </w:p>
    <w:p>
      <w:pPr>
        <w:pStyle w:val="Heading2"/>
      </w:pPr>
      <w:r>
        <w:t>5.2 Train staff on vulnerable-patient care</w:t>
      </w:r>
    </w:p>
    <w:p>
      <w:r>
        <w:rPr>
          <w:b/>
          <w:i/>
        </w:rPr>
        <w:t xml:space="preserve">Why this step matters: </w:t>
      </w:r>
      <w:r>
        <w:rPr>
          <w:i/>
        </w:rPr>
        <w:t>Staff who can't identify a vulnerable patient can't apply the extra protection that patient actually needs. NABH checks this as part of how a genuinely competent, safe workforce is actually built and kept, not just what's written about it.</w:t>
      </w:r>
    </w:p>
    <w:p>
      <w:r>
        <w:t>1. Relevant staff are trained to identify a vulnerable patient — for example an elderly, disabled, cognitively impaired or otherwise at-risk patient — per the hospital's written guidance.</w:t>
      </w:r>
    </w:p>
    <w:p>
      <w:r>
        <w:t>2. Training covers how to actually render appropriate care once a vulnerable patient is identified, not just how to label them as vulnerable.</w:t>
      </w:r>
    </w:p>
    <w:p>
      <w:r>
        <w:t>3. This training record is kept separately from the vulnerable-patient-care process record itself (covered elsewhere) — see the technical source below for the accessibility standard this training draws on. (Records 3–4)</w:t>
      </w:r>
    </w:p>
    <w:p>
      <w:r>
        <w:rPr>
          <w:b/>
          <w:i/>
          <w:sz w:val="18"/>
        </w:rPr>
        <w:t xml:space="preserve">Technical source(s) for these steps: </w:t>
      </w:r>
    </w:p>
    <w:p>
      <w:pPr>
        <w:pStyle w:val="ListParagraph"/>
      </w:pPr>
      <w:hyperlink r:id="rId10">
        <w:r>
          <w:rPr>
            <w:color w:val="0563C1"/>
            <w:u w:val="single"/>
          </w:rPr>
          <w:t>Central/State Commissioners for Persons with Disabilities (under the Rights of Persons with Disabilities Act, 2016). Harmonized Guidelines for Standards of Accessibility.</w:t>
        </w:r>
      </w:hyperlink>
    </w:p>
    <w:p>
      <w:pPr>
        <w:pStyle w:val="Heading2"/>
      </w:pPr>
      <w:r>
        <w:t>5.3 Train staff on control and restraint</w:t>
      </w:r>
    </w:p>
    <w:p>
      <w:r>
        <w:rPr>
          <w:b/>
          <w:i/>
        </w:rPr>
        <w:t xml:space="preserve">Why this step matters: </w:t>
      </w:r>
      <w:r>
        <w:rPr>
          <w:i/>
        </w:rPr>
        <w:t>Untrained restraint technique is how a patient or staff member gets physically hurt during an already difficult situation. NABH checks this as part of how a genuinely competent, safe workforce is actually built and kept, not just what's written about it.</w:t>
      </w:r>
    </w:p>
    <w:p>
      <w:r>
        <w:t>1. Relevant staff are trained in the appropriate use of control and restraint techniques, per the hospital's written guidance, before they are permitted to use restraint on a patient.</w:t>
      </w:r>
    </w:p>
    <w:p>
      <w:r>
        <w:t>2. Training covers when restraint is lawfully permitted and when it is not — see the technical source below for the statutory basis this training must follow.</w:t>
      </w:r>
    </w:p>
    <w:p>
      <w:r>
        <w:t>3. This training record is kept separately from the restraint-process record itself (covered elsewhere) — this element is specifically the staff-training layer. (Records 5–6)</w:t>
      </w:r>
    </w:p>
    <w:p>
      <w:r>
        <w:rPr>
          <w:b/>
          <w:i/>
          <w:sz w:val="18"/>
        </w:rPr>
        <w:t xml:space="preserve">Technical source(s) for these steps: </w:t>
      </w:r>
    </w:p>
    <w:p>
      <w:pPr>
        <w:pStyle w:val="ListParagraph"/>
      </w:pPr>
      <w:hyperlink r:id="rId11">
        <w:r>
          <w:rPr>
            <w:color w:val="0563C1"/>
            <w:u w:val="single"/>
          </w:rPr>
          <w:t>Government of India. (2017). The Mental Healthcare Act, 2017, ss. 94–95 (Restraint and seclusion).</w:t>
        </w:r>
      </w:hyperlink>
    </w:p>
    <w:p>
      <w:pPr>
        <w:pStyle w:val="Heading2"/>
      </w:pPr>
      <w:r>
        <w:t>5.4 Train staff on healthcare communication</w:t>
      </w:r>
    </w:p>
    <w:p>
      <w:r>
        <w:rPr>
          <w:b/>
          <w:i/>
        </w:rPr>
        <w:t xml:space="preserve">Why this step matters: </w:t>
      </w:r>
      <w:r>
        <w:rPr>
          <w:i/>
        </w:rPr>
        <w:t>Poor communication during a challenging situation is a documented driver of patient complaints and disputes — training needs can come from complaints, incident reports, appraisals and employee feedback, not just a generic curriculum. NABH checks this as part of how a genuinely competent, safe workforce is actually built and kept, not just what's written about it.</w:t>
      </w:r>
    </w:p>
    <w:p>
      <w:r>
        <w:t>1. Staff are trained in healthcare communication techniques, including how to handle a challenging or emotionally difficult conversation with a patient or family member.</w:t>
      </w:r>
    </w:p>
    <w:p>
      <w:r>
        <w:t>2. Training draws on a structured communication technique — see the technical source below — so a difficult handover of information follows a consistent, safe pattern rather than being left to individual style.</w:t>
      </w:r>
    </w:p>
    <w:p>
      <w:r>
        <w:t>3. Training needs for this topic are actively identified from patient complaints, incident reports, appraisals and employee feedback, not assumed. (Records 7–8)</w:t>
      </w:r>
    </w:p>
    <w:p>
      <w:r>
        <w:rPr>
          <w:b/>
          <w:i/>
          <w:sz w:val="18"/>
        </w:rPr>
        <w:t xml:space="preserve">Technical source(s) for these steps: </w:t>
      </w:r>
    </w:p>
    <w:p>
      <w:pPr>
        <w:pStyle w:val="ListParagraph"/>
      </w:pPr>
      <w:hyperlink r:id="rId12">
        <w:r>
          <w:rPr>
            <w:color w:val="0563C1"/>
            <w:u w:val="single"/>
          </w:rPr>
          <w:t>Institute for Healthcare Improvement. SBAR Tool: Situation-Background-Assessment-Recommendation.</w:t>
        </w:r>
      </w:hyperlink>
    </w:p>
    <w:p>
      <w:pPr>
        <w:pStyle w:val="Heading2"/>
      </w:pPr>
      <w:r>
        <w:t>5.5 Train staff on CPR periodically</w:t>
      </w:r>
    </w:p>
    <w:p>
      <w:r>
        <w:rPr>
          <w:b/>
          <w:i/>
        </w:rPr>
        <w:t xml:space="preserve">Why this step matters: </w:t>
      </w:r>
      <w:r>
        <w:rPr>
          <w:i/>
        </w:rPr>
        <w:t>CPR skill decays without refreshing — NABH sets at least once every two years as the floor, sooner if protocol changes, with advanced-level refreshers for emergency/ICU/HDU staff. This is a CORE requirement — NABH treats it as non-negotiable, not aspirational.</w:t>
      </w:r>
    </w:p>
    <w:p>
      <w:r>
        <w:t>1. Staff involved in direct patient care are retrained on cardio-pulmonary resuscitation periodically, at the level appropriate to their role — see the technical source below.</w:t>
      </w:r>
    </w:p>
    <w:p>
      <w:r>
        <w:t>2. Doctors, nurses and rehabilitation staff refresh their certification at least once every two years, or sooner if the resuscitation protocol itself changes.</w:t>
      </w:r>
    </w:p>
    <w:p>
      <w:r>
        <w:t>3. Staff in emergency, intensive care or high-dependency units complete the appropriate advanced course — for example ACLS, ATLS, PALS or NRP, or an equivalent recognised course. (Records 9–11)</w:t>
      </w:r>
    </w:p>
    <w:p>
      <w:r>
        <w:rPr>
          <w:b/>
          <w:i/>
          <w:sz w:val="18"/>
        </w:rPr>
        <w:t xml:space="preserve">Technical source(s) for these steps: </w:t>
      </w:r>
    </w:p>
    <w:p>
      <w:pPr>
        <w:pStyle w:val="ListParagraph"/>
      </w:pPr>
      <w:hyperlink r:id="rId13">
        <w:r>
          <w:rPr>
            <w:color w:val="0563C1"/>
            <w:u w:val="single"/>
          </w:rPr>
          <w:t>American Heart Association. Basic Life Support (BLS) Training for Healthcare Professionals.</w:t>
        </w:r>
      </w:hyperlink>
    </w:p>
    <w:p>
      <w:pPr>
        <w:pStyle w:val="ListParagraph"/>
      </w:pPr>
      <w:hyperlink r:id="rId14">
        <w:r>
          <w:rPr>
            <w:color w:val="0563C1"/>
            <w:u w:val="single"/>
          </w:rPr>
          <w:t>American College of Surgeons. About Advanced Trauma Life Support (ATLS).</w:t>
        </w:r>
      </w:hyperlink>
    </w:p>
    <w:p>
      <w:pPr>
        <w:pStyle w:val="ListParagraph"/>
      </w:pPr>
      <w:hyperlink r:id="rId15">
        <w:r>
          <w:rPr>
            <w:color w:val="0563C1"/>
            <w:u w:val="single"/>
          </w:rPr>
          <w:t>American Academy of Pediatrics. Neonatal Resuscitation Program (NRP).</w:t>
        </w:r>
      </w:hyperlink>
    </w:p>
    <w:p>
      <w:pPr>
        <w:pStyle w:val="Heading2"/>
      </w:pPr>
      <w:r>
        <w:t>5.6 Train staff on infection prevention and control</w:t>
      </w:r>
    </w:p>
    <w:p>
      <w:r>
        <w:rPr>
          <w:b/>
          <w:i/>
        </w:rPr>
        <w:t xml:space="preserve">Why this step matters: </w:t>
      </w:r>
      <w:r>
        <w:rPr>
          <w:i/>
        </w:rPr>
        <w:t>Job-specific IPC training — including antimicrobial stewardship content for the professionals who actually prescribe and dispense — keeps day-to-day practice infection-safe, not just induction-day awareness. NABH checks this as part of how a genuinely competent, safe workforce is actually built and kept, not just what's written about it.</w:t>
      </w:r>
    </w:p>
    <w:p>
      <w:r>
        <w:t>1. In-service IPC training is run at least once a year — see the technical source below for the programme framework this training supports.</w:t>
      </w:r>
    </w:p>
    <w:p>
      <w:r>
        <w:t>2. Content includes the hospital's antimicrobial policy and antimicrobial stewardship, specifically for medical professionals, IPC nurses, the clinical pharmacist and support staff.</w:t>
      </w:r>
    </w:p>
    <w:p>
      <w:r>
        <w:t>3. Attendance is recorded per staff member so a gap in who has and hasn't been trained is visible, not assumed covered. (Records 12–13)</w:t>
      </w:r>
    </w:p>
    <w:p>
      <w:r>
        <w:rPr>
          <w:b/>
          <w:i/>
          <w:sz w:val="18"/>
        </w:rPr>
        <w:t xml:space="preserve">Technical source(s) for these steps: </w:t>
      </w:r>
    </w:p>
    <w:p>
      <w:pPr>
        <w:pStyle w:val="ListParagraph"/>
      </w:pPr>
      <w:hyperlink r:id="rId16">
        <w:r>
          <w:rPr>
            <w:color w:val="0563C1"/>
            <w:u w:val="single"/>
          </w:rPr>
          <w:t>World Health Organization. (2018). Guidelines on Core Components of Infection Prevention and Control Programmes.</w:t>
        </w:r>
      </w:hyperlink>
    </w:p>
    <w:p>
      <w:pPr>
        <w:pStyle w:val="Heading1"/>
      </w:pPr>
      <w:r>
        <w:t>6. Records</w:t>
      </w:r>
    </w:p>
    <w:p>
      <w:r>
        <w:t>This SOP produces and maintains Records 1 through 13 (see the HRM.5 Records folder).</w:t>
      </w:r>
    </w:p>
    <w:p>
      <w:pPr>
        <w:pStyle w:val="Heading1"/>
      </w:pPr>
      <w:r>
        <w:t>7. Related Documents</w:t>
      </w:r>
    </w:p>
    <w:p>
      <w:pPr>
        <w:pStyle w:val="ListParagraph"/>
      </w:pPr>
      <w:r>
        <w:t>Policy on Job-Specific Staff Training (HCO/HRM/POL/05) — this policy</w:t>
      </w:r>
    </w:p>
    <w:p>
      <w:pPr>
        <w:pStyle w:val="ListParagraph"/>
      </w:pPr>
      <w:r>
        <w:t>Required Records — HRM.5 (see HRM.5 Records folder)</w:t>
      </w:r>
    </w:p>
    <w:p>
      <w:pPr>
        <w:pStyle w:val="Heading1"/>
      </w:pPr>
      <w:r>
        <w:t>8. Where This SOP's Requirements Come From (Verified Sources)</w:t>
      </w:r>
    </w:p>
    <w:p>
      <w:pPr>
        <w:pStyle w:val="ListParagraph"/>
      </w:pPr>
      <w:r>
        <w:rPr>
          <w:i/>
        </w:rPr>
        <w:t>NABH — Accreditation Standards for Hospitals, 6th Edition, HRM.5 — named source, no working link could be verified from here; check directly.</w:t>
      </w:r>
    </w:p>
    <w:p>
      <w:pPr>
        <w:pStyle w:val="Heading1"/>
      </w:pPr>
      <w:r>
        <w:t>9. Review</w:t>
      </w:r>
    </w:p>
    <w:p>
      <w:r>
        <w:t>This SOP is reviewed at least annually by the Quality Coordinator together with the HR In-Charge, and immediately if an incident, audit or credentialing gap finds it isn't working as written.</w:t>
      </w:r>
    </w:p>
    <w:sectPr w:rsidR="00FC693F" w:rsidRPr="0006063C" w:rsidSect="00034616">
      <w:pgSz w:w="12240" w:h="15840"/>
      <w:pgMar w:top="1280" w:right="1280" w:bottom="1280" w:left="12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aabb.org/standards-accreditation/standards/blood-banks-and-transfusion-services" TargetMode="External"/><Relationship Id="rId10" Type="http://schemas.openxmlformats.org/officeDocument/2006/relationships/hyperlink" Target="https://ccpd.nic.in/harmonized-guidelines-for-standards-of-accessibility/" TargetMode="External"/><Relationship Id="rId11" Type="http://schemas.openxmlformats.org/officeDocument/2006/relationships/hyperlink" Target="https://www.advocatekhoj.com/library/bareacts/mentalhealthcare/97.php" TargetMode="External"/><Relationship Id="rId12" Type="http://schemas.openxmlformats.org/officeDocument/2006/relationships/hyperlink" Target="https://www.ihi.org/library/tools/sbar-tool-situation-background-assessment-recommendation" TargetMode="External"/><Relationship Id="rId13" Type="http://schemas.openxmlformats.org/officeDocument/2006/relationships/hyperlink" Target="https://cpr.heart.org/en/cpr-courses-and-kits/healthcare-professional/basic-life-support-bls-training" TargetMode="External"/><Relationship Id="rId14" Type="http://schemas.openxmlformats.org/officeDocument/2006/relationships/hyperlink" Target="https://www.facs.org/quality-programs/trauma/education/advanced-trauma-life-support/about/" TargetMode="External"/><Relationship Id="rId15" Type="http://schemas.openxmlformats.org/officeDocument/2006/relationships/hyperlink" Target="https://www.aap.org/en/pedialink/neonatal-resuscitation-program/" TargetMode="External"/><Relationship Id="rId16" Type="http://schemas.openxmlformats.org/officeDocument/2006/relationships/hyperlink" Target="https://www.who.int/publications/i/item/WHO-HIS-SDS-2018.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