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HRM.9.d — Measures for prevention and handling of workplace violence.</w:t>
      </w:r>
    </w:p>
    <w:p>
      <w:r>
        <w:rPr>
          <w:b/>
          <w:sz w:val="30"/>
        </w:rPr>
        <w:t>HRM.9 Record 8 — Measures for prevention and handling of workplace violence.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“Law-enforcement-liaison and counselling record for affected staff.” — the specific evidence element Measures for prevention and handling of workplace violence. of this policy asks for. Every time this happens for real, whoever is responsible adds one new row below with: Date, Location, Description, Action Taken, Police/Law-Enforcement Liaison (Y/N), Counselling Provided (Y/N).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Safety Officer fills this in whenever a workplace-violence risk assessment is done, or an actual incident is handled. The worked example below shows a real entry: on 13-Jan-2026, location was 'Emergency reception', description was 'Verbal threat from attendant of a patient during a wait-time dispute' — so action taken was 'Security alerted; situation de-escalated; incident logged'.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Workplace violence left unaddressed escalates and drives staff attrition — NABH treats prevention and handling of it as CORE. This is a CORE requirement — NABH treats it as non-negotiable, not aspirational.</w:t>
            </w:r>
          </w:p>
        </w:tc>
      </w:tr>
    </w:tbl>
    <w:p/>
    <w:p>
      <w:r>
        <w:rPr>
          <w:b/>
          <w:sz w:val="22"/>
        </w:rPr>
        <w:t>How to fill this in — column by column</w:t>
      </w:r>
    </w:p>
    <w:p>
      <w:pPr>
        <w:pStyle w:val="ListParagraph"/>
      </w:pPr>
      <w:r>
        <w:rPr>
          <w:b/>
        </w:rPr>
        <w:t xml:space="preserve">Date: </w:t>
      </w:r>
      <w:r>
        <w:t>The actual date of the incident.</w:t>
      </w:r>
    </w:p>
    <w:p>
      <w:pPr>
        <w:pStyle w:val="ListParagraph"/>
      </w:pPr>
      <w:r>
        <w:rPr>
          <w:b/>
        </w:rPr>
        <w:t xml:space="preserve">Location: </w:t>
      </w:r>
      <w:r>
        <w:t>The specific location.</w:t>
      </w:r>
    </w:p>
    <w:p>
      <w:pPr>
        <w:pStyle w:val="ListParagraph"/>
      </w:pPr>
      <w:r>
        <w:rPr>
          <w:b/>
        </w:rPr>
        <w:t xml:space="preserve">Description: </w:t>
      </w:r>
      <w:r>
        <w:t>What actually happened — factual, specific.</w:t>
      </w:r>
    </w:p>
    <w:p>
      <w:pPr>
        <w:pStyle w:val="ListParagraph"/>
      </w:pPr>
      <w:r>
        <w:rPr>
          <w:b/>
        </w:rPr>
        <w:t xml:space="preserve">Action Taken: </w:t>
      </w:r>
      <w:r>
        <w:t>What action was actually taken at the time.</w:t>
      </w:r>
    </w:p>
    <w:p>
      <w:pPr>
        <w:pStyle w:val="ListParagraph"/>
      </w:pPr>
      <w:r>
        <w:rPr>
          <w:b/>
        </w:rPr>
        <w:t xml:space="preserve">Police/Law-Enforcement Liaison (Y/N): </w:t>
      </w:r>
      <w:r>
        <w:t>Whether police/law enforcement were actually contacted — Y or N, don't leave this implied.</w:t>
      </w:r>
    </w:p>
    <w:p>
      <w:pPr>
        <w:pStyle w:val="ListParagraph"/>
      </w:pPr>
      <w:r>
        <w:rPr>
          <w:b/>
        </w:rPr>
        <w:t xml:space="preserve">Counselling Provided (Y/N): </w:t>
      </w:r>
      <w:r>
        <w:t>Whether counselling was actually offered to the affected staff member — Y or N.</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13"/>
        <w:gridCol w:w="1613"/>
        <w:gridCol w:w="1613"/>
        <w:gridCol w:w="1613"/>
        <w:gridCol w:w="1613"/>
        <w:gridCol w:w="1613"/>
      </w:tblGrid>
      <w:tr>
        <w:tc>
          <w:tcPr>
            <w:tcW w:type="dxa" w:w="1613"/>
            <w:shd w:val="clear" w:fill="D9E2F3"/>
          </w:tcPr>
          <w:p>
            <w:r/>
            <w:r>
              <w:rPr>
                <w:b/>
                <w:sz w:val="20"/>
              </w:rPr>
              <w:t>Date</w:t>
            </w:r>
          </w:p>
        </w:tc>
        <w:tc>
          <w:tcPr>
            <w:tcW w:type="dxa" w:w="1613"/>
            <w:shd w:val="clear" w:fill="D9E2F3"/>
          </w:tcPr>
          <w:p>
            <w:r/>
            <w:r>
              <w:rPr>
                <w:b/>
                <w:sz w:val="20"/>
              </w:rPr>
              <w:t>Location</w:t>
            </w:r>
          </w:p>
        </w:tc>
        <w:tc>
          <w:tcPr>
            <w:tcW w:type="dxa" w:w="1613"/>
            <w:shd w:val="clear" w:fill="D9E2F3"/>
          </w:tcPr>
          <w:p>
            <w:r/>
            <w:r>
              <w:rPr>
                <w:b/>
                <w:sz w:val="20"/>
              </w:rPr>
              <w:t>Description</w:t>
            </w:r>
          </w:p>
        </w:tc>
        <w:tc>
          <w:tcPr>
            <w:tcW w:type="dxa" w:w="1613"/>
            <w:shd w:val="clear" w:fill="D9E2F3"/>
          </w:tcPr>
          <w:p>
            <w:r/>
            <w:r>
              <w:rPr>
                <w:b/>
                <w:sz w:val="20"/>
              </w:rPr>
              <w:t>Action Taken</w:t>
            </w:r>
          </w:p>
        </w:tc>
        <w:tc>
          <w:tcPr>
            <w:tcW w:type="dxa" w:w="1613"/>
            <w:shd w:val="clear" w:fill="D9E2F3"/>
          </w:tcPr>
          <w:p>
            <w:r/>
            <w:r>
              <w:rPr>
                <w:b/>
                <w:sz w:val="20"/>
              </w:rPr>
              <w:t>Police/Law-Enforcement Liaison (Y/N)</w:t>
            </w:r>
          </w:p>
        </w:tc>
        <w:tc>
          <w:tcPr>
            <w:tcW w:type="dxa" w:w="1613"/>
            <w:shd w:val="clear" w:fill="D9E2F3"/>
          </w:tcPr>
          <w:p>
            <w:r/>
            <w:r>
              <w:rPr>
                <w:b/>
                <w:sz w:val="20"/>
              </w:rPr>
              <w:t>Counselling Provided (Y/N)</w:t>
            </w:r>
          </w:p>
        </w:tc>
      </w:tr>
      <w:tr>
        <w:tc>
          <w:tcPr>
            <w:tcW w:type="dxa" w:w="9678"/>
            <w:gridSpan w:val="6"/>
            <w:shd w:val="clear" w:fill="FFF2CC"/>
          </w:tcPr>
          <w:p>
            <w:r/>
            <w:r>
              <w:rPr>
                <w:b/>
                <w:sz w:val="18"/>
              </w:rPr>
              <w:t>WORKED EXAMPLE — TRAINING ONLY — NOT AN ACTUAL HOSPITAL RECORD</w:t>
            </w:r>
          </w:p>
        </w:tc>
      </w:tr>
      <w:tr>
        <w:tc>
          <w:tcPr>
            <w:tcW w:type="dxa" w:w="1613"/>
            <w:shd w:val="clear" w:fill="FFF2CC"/>
          </w:tcPr>
          <w:p>
            <w:r/>
            <w:r>
              <w:rPr>
                <w:b w:val="0"/>
                <w:sz w:val="20"/>
              </w:rPr>
              <w:t>13-Jan-2026</w:t>
            </w:r>
          </w:p>
        </w:tc>
        <w:tc>
          <w:tcPr>
            <w:tcW w:type="dxa" w:w="1613"/>
            <w:shd w:val="clear" w:fill="FFF2CC"/>
          </w:tcPr>
          <w:p>
            <w:r/>
            <w:r>
              <w:rPr>
                <w:b w:val="0"/>
                <w:sz w:val="20"/>
              </w:rPr>
              <w:t>Emergency reception</w:t>
            </w:r>
          </w:p>
        </w:tc>
        <w:tc>
          <w:tcPr>
            <w:tcW w:type="dxa" w:w="1613"/>
            <w:shd w:val="clear" w:fill="FFF2CC"/>
          </w:tcPr>
          <w:p>
            <w:r/>
            <w:r>
              <w:rPr>
                <w:b w:val="0"/>
                <w:sz w:val="20"/>
              </w:rPr>
              <w:t>Verbal threat from attendant of a patient during a wait-time dispute</w:t>
            </w:r>
          </w:p>
        </w:tc>
        <w:tc>
          <w:tcPr>
            <w:tcW w:type="dxa" w:w="1613"/>
            <w:shd w:val="clear" w:fill="FFF2CC"/>
          </w:tcPr>
          <w:p>
            <w:r/>
            <w:r>
              <w:rPr>
                <w:b w:val="0"/>
                <w:sz w:val="20"/>
              </w:rPr>
              <w:t>Security alerted; situation de-escalated; incident logged</w:t>
            </w:r>
          </w:p>
        </w:tc>
        <w:tc>
          <w:tcPr>
            <w:tcW w:type="dxa" w:w="1613"/>
            <w:shd w:val="clear" w:fill="FFF2CC"/>
          </w:tcPr>
          <w:p>
            <w:r/>
            <w:r>
              <w:rPr>
                <w:b w:val="0"/>
                <w:sz w:val="20"/>
              </w:rPr>
              <w:t>N — de-escalated without needing police involvement</w:t>
            </w:r>
          </w:p>
        </w:tc>
        <w:tc>
          <w:tcPr>
            <w:tcW w:type="dxa" w:w="1613"/>
            <w:shd w:val="clear" w:fill="FFF2CC"/>
          </w:tcPr>
          <w:p>
            <w:r/>
            <w:r>
              <w:rPr>
                <w:b w:val="0"/>
                <w:sz w:val="20"/>
              </w:rPr>
              <w:t>Y — affected staff member offered counselling and a debrief</w:t>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