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IMS.1.g — External database contribution.</w:t>
      </w:r>
    </w:p>
    <w:p>
      <w:r>
        <w:rPr>
          <w:b/>
          <w:sz w:val="30"/>
        </w:rPr>
        <w:t>IMS.1 Record 13 — External database contribution.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“Records of information sent to concerned authorities, at the required frequency and format.” — the specific evidence element External database contribution. of this policy asks for. Every time this happens for real, whoever is responsible adds one new row below with: Report/Data, Authority, Due Date, Date Submitted, Confirmation Received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Records Officer or the relevant department logs each submission to an external authority or national vigilance programme on the date it's actually sent. The worked example below shows a real entry: on 07-Feb-2026 Birth and death statistics — monthly, Municipal Registrar, 05-Feb-2026.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Notifiable diseases, birth and death statistics, and national vigilance programmes (Haemovigilance, Pharmacovigilance, Materiovigilance) exist because a single hospital's data, added to everyone else's, is how a country catches an outbreak or an unsafe drug or device early. A hospital that doesn't actually submit its share breaks that surveillance chain — this record proves the submission genuinely happened, on time, in the right format.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Report/Data: </w:t>
      </w:r>
      <w:r>
        <w:t>The specific report or data submitted — name it.</w:t>
      </w:r>
    </w:p>
    <w:p>
      <w:pPr>
        <w:pStyle w:val="ListParagraph"/>
      </w:pPr>
      <w:r>
        <w:rPr>
          <w:b/>
        </w:rPr>
        <w:t xml:space="preserve">Authority: </w:t>
      </w:r>
      <w:r>
        <w:t>The real statutory authority it was sent to.</w:t>
      </w:r>
    </w:p>
    <w:p>
      <w:pPr>
        <w:pStyle w:val="ListParagraph"/>
      </w:pPr>
      <w:r>
        <w:rPr>
          <w:b/>
        </w:rPr>
        <w:t xml:space="preserve">Due Date: </w:t>
      </w:r>
      <w:r>
        <w:t>The actual due date.</w:t>
      </w:r>
    </w:p>
    <w:p>
      <w:pPr>
        <w:pStyle w:val="ListParagraph"/>
      </w:pPr>
      <w:r>
        <w:rPr>
          <w:b/>
        </w:rPr>
        <w:t xml:space="preserve">Date Submitted: </w:t>
      </w:r>
      <w:r>
        <w:t>The real date it was actually submitted.</w:t>
      </w:r>
    </w:p>
    <w:p>
      <w:pPr>
        <w:pStyle w:val="ListParagraph"/>
      </w:pPr>
      <w:r>
        <w:rPr>
          <w:b/>
        </w:rPr>
        <w:t xml:space="preserve">Confirmation Received (Y/N): </w:t>
      </w:r>
      <w:r>
        <w:t>Whether receipt/confirmation was actually obtained — Y or N, check don't assume.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Report/Data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Authority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Submitted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Confirmation Received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Birth and death statistics — monthly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Municipal Registrar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07-Feb-2026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05-Feb-2026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