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IMS.2.a — Standardised data collection.</w:t>
      </w:r>
    </w:p>
    <w:p>
      <w:r>
        <w:rPr>
          <w:b/>
          <w:sz w:val="30"/>
        </w:rPr>
        <w:t>IMS.2 Record 1 — Standardised data collection.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data-collection format and frequency record for each data type (event-based or periodic).” — the specific evidence element Standardised data collection. of this policy asks for. Every time this happens for real, whoever is responsible adds one new row below with: Data Type, Format, Frequency, Responsible Person/Role.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or Quality Coordinator responsible for a given data type logs the defined format and frequency once, and files a sample completed form as evidence it's actually followed. The worked example below shows a real entry: Bed occupancy, Electronic — HIS dashboard, Daily.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collected on ad-hoc forms, at whatever frequency someone remembers, can't be compared over time or across departments — it's noise, not information. This record proves a defined format and frequency exists for each data type and is actually being followed.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 Type: </w:t>
      </w:r>
      <w:r>
        <w:t>The specific data type collected — name it.</w:t>
      </w:r>
    </w:p>
    <w:p>
      <w:pPr>
        <w:pStyle w:val="ListParagraph"/>
      </w:pPr>
      <w:r>
        <w:rPr>
          <w:b/>
        </w:rPr>
        <w:t xml:space="preserve">Format: </w:t>
      </w:r>
      <w:r>
        <w:t>The real format used — physical and/or electronic.</w:t>
      </w:r>
    </w:p>
    <w:p>
      <w:pPr>
        <w:pStyle w:val="ListParagraph"/>
      </w:pPr>
      <w:r>
        <w:rPr>
          <w:b/>
        </w:rPr>
        <w:t xml:space="preserve">Frequency: </w:t>
      </w:r>
      <w:r>
        <w:t>The actual frequency this data is collected.</w:t>
      </w:r>
    </w:p>
    <w:p>
      <w:pPr>
        <w:pStyle w:val="ListParagraph"/>
      </w:pPr>
      <w:r>
        <w:rPr>
          <w:b/>
        </w:rPr>
        <w:t xml:space="preserve">Responsible Person/Role: </w:t>
      </w:r>
      <w:r>
        <w:t>Who is actually responsible for collecting it, by role.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Responsible Person/Role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Bed occupancy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Electronic — HIS dashboard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Daily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IMS.2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