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IMS.3.a — Unique identifier.</w:t>
      </w:r>
    </w:p>
    <w:p>
      <w:r>
        <w:rPr>
          <w:b/>
          <w:sz w:val="30"/>
        </w:rPr>
        <w:t>IMS.3 Record 1 — Unique identifier.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“Unique-identifier assignment record for each patient's medical record.” — the specific evidence element Unique identifier. of this policy asks for. Every time this happens for real, whoever is responsible adds one new row below with: Patient, Unique Identifier (UHID/MRN), Date Assigned, All Entries Traceable to Number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assigns the unique identifier at registration and confirms traceability of every subsequent entry to that number. The worked example below shows a real entry: on 14-Jan-2026 New OPD registration — M. Krishnan, UHID 20260114-0231, Y — every sheet, including digital-media entries, carries this number.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Two patients' records mixed up because of a missing or duplicated identifier is one of the most basic and dangerous errors a hospital can make. This record proves every medical record — including on digital media — carries one unique number, and that every entry for that patient is actually traceable back to it.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Patient: </w:t>
      </w:r>
      <w:r>
        <w:t>The actual patient this identifier was assigned to.</w:t>
      </w:r>
    </w:p>
    <w:p>
      <w:pPr>
        <w:pStyle w:val="ListParagraph"/>
      </w:pPr>
      <w:r>
        <w:rPr>
          <w:b/>
        </w:rPr>
        <w:t xml:space="preserve">Unique Identifier (UHID/MRN): </w:t>
      </w:r>
      <w:r>
        <w:t>The real unique identifier number actually assigned.</w:t>
      </w:r>
    </w:p>
    <w:p>
      <w:pPr>
        <w:pStyle w:val="ListParagraph"/>
      </w:pPr>
      <w:r>
        <w:rPr>
          <w:b/>
        </w:rPr>
        <w:t xml:space="preserve">Date Assigned: </w:t>
      </w:r>
      <w:r>
        <w:t>The date it was actually assigned.</w:t>
      </w:r>
    </w:p>
    <w:p>
      <w:pPr>
        <w:pStyle w:val="ListParagraph"/>
      </w:pPr>
      <w:r>
        <w:rPr>
          <w:b/>
        </w:rPr>
        <w:t xml:space="preserve">All Entries Traceable to Number (Y/N): </w:t>
      </w:r>
      <w:r>
        <w:t>Whether every sheet and entry for this patient — physical and digital — is actually traceable to this one number,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Unique Identifier (UHID/MRN)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Assigned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All Entries Traceable to Number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New OPD registration — M. Krishnan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20260114-0231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 — every sheet, including digital-media entries, carries this number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IMS.3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