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IMS.4.e — Transfer details.</w:t>
      </w:r>
    </w:p>
    <w:p>
      <w:r>
        <w:rPr>
          <w:b/>
          <w:sz w:val="30"/>
        </w:rPr>
        <w:t>IMS.4 Record 5 — Transfer details.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“Transfer record — date, reason, receiving organisation, pre-transfer clinical condition — and patient-requested-transfer note where applicable.” — the specific evidence element Transfer details. of this policy asks for. Every time this happens for real, whoever is responsible adds one new row below with: Patient, Date of Transfer, Reason, Receiving Organisation, Condition Before Transfer Recorded (Y/N).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treating doctor documents the transfer record — date, reason, receiving organisation and pre-transfer condition — at the time of transfer. The worked example below shows a real entry: on 12-Jan-2026 MR-004521, Higher level of cardiac care required, City Cardiac Institute.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patient transferred to another facility with no record of their condition, the reason, or where they went leaves the receiving team working blind and leaves the sending hospital unable to account for the handover. This record proves the date, reason, receiving organisation and pre-transfer clinical condition were all actually documented. NABH checks this as part of how a genuinely reliable, safe medical record system is actually run, not just what's written about it.</w:t>
            </w:r>
          </w:p>
        </w:tc>
      </w:tr>
    </w:tbl>
    <w:p/>
    <w:p>
      <w:r>
        <w:rPr>
          <w:b/>
          <w:sz w:val="22"/>
        </w:rPr>
        <w:t>How to fill this in — column by column</w:t>
      </w:r>
    </w:p>
    <w:p>
      <w:pPr>
        <w:pStyle w:val="ListParagraph"/>
      </w:pPr>
      <w:r>
        <w:rPr>
          <w:b/>
        </w:rPr>
        <w:t xml:space="preserve">Patient: </w:t>
      </w:r>
      <w:r>
        <w:t>The actual patient/record identifier.</w:t>
      </w:r>
    </w:p>
    <w:p>
      <w:pPr>
        <w:pStyle w:val="ListParagraph"/>
      </w:pPr>
      <w:r>
        <w:rPr>
          <w:b/>
        </w:rPr>
        <w:t xml:space="preserve">Date of Transfer: </w:t>
      </w:r>
      <w:r>
        <w:t>The real date of transfer.</w:t>
      </w:r>
    </w:p>
    <w:p>
      <w:pPr>
        <w:pStyle w:val="ListParagraph"/>
      </w:pPr>
      <w:r>
        <w:rPr>
          <w:b/>
        </w:rPr>
        <w:t xml:space="preserve">Reason: </w:t>
      </w:r>
      <w:r>
        <w:t>The specific reason for transfer.</w:t>
      </w:r>
    </w:p>
    <w:p>
      <w:pPr>
        <w:pStyle w:val="ListParagraph"/>
      </w:pPr>
      <w:r>
        <w:rPr>
          <w:b/>
        </w:rPr>
        <w:t xml:space="preserve">Receiving Organisation: </w:t>
      </w:r>
      <w:r>
        <w:t>The actual receiving organisation named.</w:t>
      </w:r>
    </w:p>
    <w:p>
      <w:pPr>
        <w:pStyle w:val="ListParagraph"/>
      </w:pPr>
      <w:r>
        <w:rPr>
          <w:b/>
        </w:rPr>
        <w:t xml:space="preserve">Condition Before Transfer Recorded (Y/N): </w:t>
      </w:r>
      <w:r>
        <w:t>Whether the patient's clinical condition before transfer was actually recorded — required, not optional.</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Patient</w:t>
            </w:r>
          </w:p>
        </w:tc>
        <w:tc>
          <w:tcPr>
            <w:tcW w:type="dxa" w:w="1936"/>
            <w:shd w:val="clear" w:fill="D9E2F3"/>
          </w:tcPr>
          <w:p>
            <w:r/>
            <w:r>
              <w:rPr>
                <w:b/>
                <w:sz w:val="20"/>
              </w:rPr>
              <w:t>Date of Transfer</w:t>
            </w:r>
          </w:p>
        </w:tc>
        <w:tc>
          <w:tcPr>
            <w:tcW w:type="dxa" w:w="1936"/>
            <w:shd w:val="clear" w:fill="D9E2F3"/>
          </w:tcPr>
          <w:p>
            <w:r/>
            <w:r>
              <w:rPr>
                <w:b/>
                <w:sz w:val="20"/>
              </w:rPr>
              <w:t>Reason</w:t>
            </w:r>
          </w:p>
        </w:tc>
        <w:tc>
          <w:tcPr>
            <w:tcW w:type="dxa" w:w="1936"/>
            <w:shd w:val="clear" w:fill="D9E2F3"/>
          </w:tcPr>
          <w:p>
            <w:r/>
            <w:r>
              <w:rPr>
                <w:b/>
                <w:sz w:val="20"/>
              </w:rPr>
              <w:t>Receiving Organisation</w:t>
            </w:r>
          </w:p>
        </w:tc>
        <w:tc>
          <w:tcPr>
            <w:tcW w:type="dxa" w:w="1936"/>
            <w:shd w:val="clear" w:fill="D9E2F3"/>
          </w:tcPr>
          <w:p>
            <w:r/>
            <w:r>
              <w:rPr>
                <w:b/>
                <w:sz w:val="20"/>
              </w:rPr>
              <w:t>Condition Before Transfer Recorded (Y/N)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MR-004521</w:t>
            </w:r>
          </w:p>
        </w:tc>
        <w:tc>
          <w:tcPr>
            <w:tcW w:type="dxa" w:w="1936"/>
            <w:shd w:val="clear" w:fill="FFF2CC"/>
          </w:tcPr>
          <w:p>
            <w:r/>
            <w:r>
              <w:rPr>
                <w:b w:val="0"/>
                <w:sz w:val="20"/>
              </w:rPr>
              <w:t>12-Jan-2026</w:t>
            </w:r>
          </w:p>
        </w:tc>
        <w:tc>
          <w:tcPr>
            <w:tcW w:type="dxa" w:w="1936"/>
            <w:shd w:val="clear" w:fill="FFF2CC"/>
          </w:tcPr>
          <w:p>
            <w:r/>
            <w:r>
              <w:rPr>
                <w:b w:val="0"/>
                <w:sz w:val="20"/>
              </w:rPr>
              <w:t>Higher level of cardiac care required</w:t>
            </w:r>
          </w:p>
        </w:tc>
        <w:tc>
          <w:tcPr>
            <w:tcW w:type="dxa" w:w="1936"/>
            <w:shd w:val="clear" w:fill="FFF2CC"/>
          </w:tcPr>
          <w:p>
            <w:r/>
            <w:r>
              <w:rPr>
                <w:b w:val="0"/>
                <w:sz w:val="20"/>
              </w:rPr>
              <w:t>City Cardiac Institute</w:t>
            </w:r>
          </w:p>
        </w:tc>
        <w:tc>
          <w:tcPr>
            <w:tcW w:type="dxa" w:w="1936"/>
            <w:shd w:val="clear" w:fill="FFF2CC"/>
          </w:tcPr>
          <w:p>
            <w:r/>
            <w:r>
              <w:rPr>
                <w:b w:val="0"/>
                <w:sz w:val="20"/>
              </w:rPr>
              <w:t>Y</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