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IMS.5.b — Integrity.</w:t>
      </w:r>
    </w:p>
    <w:p>
      <w:r>
        <w:rPr>
          <w:b/>
          <w:sz w:val="30"/>
        </w:rPr>
        <w:t>IMS.5 Record 4 — Integrity.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“Change-tracking log for records and data.” — the specific evidence element Integrity. of this policy asks for. Every time this happens for real, whoever is responsible adds one new row below with: Record No., Entry Corrected, Reason, Corrected By,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Committee approves the correction/overwrite guidance, and the Medical Records Officer or IT system logs every change made to a record. The worked example below shows a real entry: on 09-Jan-2026 MR-004521, Medication dose entry, Transcription error corrected per single-line-strike guidance.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record where entries can be silently altered or overwritten with no trace is a record nobody can trust — in a clinical handover, an audit, or a legal dispute. This record proves corrections are actually made per the hospital's own written guidance, and that a genuine system exists to track every change made.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Record No.: </w:t>
      </w:r>
      <w:r>
        <w:t>The actual record number.</w:t>
      </w:r>
    </w:p>
    <w:p>
      <w:pPr>
        <w:pStyle w:val="ListParagraph"/>
      </w:pPr>
      <w:r>
        <w:rPr>
          <w:b/>
        </w:rPr>
        <w:t xml:space="preserve">Entry Corrected: </w:t>
      </w:r>
      <w:r>
        <w:t>The specific entry that was corrected.</w:t>
      </w:r>
    </w:p>
    <w:p>
      <w:pPr>
        <w:pStyle w:val="ListParagraph"/>
      </w:pPr>
      <w:r>
        <w:rPr>
          <w:b/>
        </w:rPr>
        <w:t xml:space="preserve">Reason: </w:t>
      </w:r>
      <w:r>
        <w:t>The real reason for the correction.</w:t>
      </w:r>
    </w:p>
    <w:p>
      <w:pPr>
        <w:pStyle w:val="ListParagraph"/>
      </w:pPr>
      <w:r>
        <w:rPr>
          <w:b/>
        </w:rPr>
        <w:t xml:space="preserve">Corrected By: </w:t>
      </w:r>
      <w:r>
        <w:t>Who actually made the correction — must be the original author or per written guidance.</w:t>
      </w:r>
    </w:p>
    <w:p>
      <w:pPr>
        <w:pStyle w:val="ListParagraph"/>
      </w:pPr>
      <w:r>
        <w:rPr>
          <w:b/>
        </w:rPr>
        <w:t xml:space="preserve">Date: </w:t>
      </w:r>
      <w:r>
        <w:t>The actual date of correction.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Record No.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Entry Corrected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MR-004521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Medication dose entry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Transcription error corrected per single-line-strike guidance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original author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