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IMS.6.b — Retention of clinical records.</w:t>
      </w:r>
    </w:p>
    <w:p>
      <w:r>
        <w:rPr>
          <w:b/>
          <w:sz w:val="30"/>
        </w:rPr>
        <w:t>IMS.6 Record 3 — Retention of clinical records.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“Defined retention-period record per record category (out-patient, in-patient, medico-legal case), referencing National Medical Commission/state authority rules.” — the specific evidence element Retention of clinical records. of this policy asks for. Every time this happens for real, whoever is responsible adds one new row below with: Record Category, Retention Period, Basis, Destruction Due Date.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Committee defines the retention period for each record category and data-capture format, matching National Medical Commission and state authority rules. The worked example below shows a real entry: In-patient medical records, As defined by National Medical Commission / state authority requirement, NMC regulation and hospital policy.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Destroying a clinical record before its legally required retention period ends can leave the hospital unable to defend itself in a future medico-legal case, while keeping everything forever with no defined period is its own unmanaged risk. This record proves a real retention period is defined for each record category, matching National Medical Commission and state authority rules.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Category: </w:t>
      </w:r>
      <w:r>
        <w:t>The specific record category — out-patient, in-patient, medico-legal, etc.</w:t>
      </w:r>
    </w:p>
    <w:p>
      <w:pPr>
        <w:pStyle w:val="ListParagraph"/>
      </w:pPr>
      <w:r>
        <w:rPr>
          <w:b/>
        </w:rPr>
        <w:t xml:space="preserve">Retention Period: </w:t>
      </w:r>
      <w:r>
        <w:t>The actual retention period defined for this category.</w:t>
      </w:r>
    </w:p>
    <w:p>
      <w:pPr>
        <w:pStyle w:val="ListParagraph"/>
      </w:pPr>
      <w:r>
        <w:rPr>
          <w:b/>
        </w:rPr>
        <w:t xml:space="preserve">Basis: </w:t>
      </w:r>
      <w:r>
        <w:t>The real basis this period is set on.</w:t>
      </w:r>
    </w:p>
    <w:p>
      <w:pPr>
        <w:pStyle w:val="ListParagraph"/>
      </w:pPr>
      <w:r>
        <w:rPr>
          <w:b/>
        </w:rPr>
        <w:t xml:space="preserve">Destruction Due Date: </w:t>
      </w:r>
      <w:r>
        <w:t>The calculated destruction-due date for a given record's cohort.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 Category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Retention Period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Destruction Due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In-patient medical records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As defined by National Medical Commission / state authority requirement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NMC regulation and hospital policy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Calculated per record's discharge date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