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IMS.6.b — Retention of clinical records.</w:t>
      </w:r>
    </w:p>
    <w:p>
      <w:r>
        <w:rPr>
          <w:b/>
          <w:sz w:val="30"/>
        </w:rPr>
        <w:t>IMS.6 Record 4 — Retention of clinical records.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“Retention-period record for data-capture formats — registers, forms.” — the specific evidence element Retention of clinical records. of this policy asks for. Every time this happens for real, whoever is responsible adds one new row below with: Register/Form/Data-Capture Format, Retention Period, Basis, Destruction Due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Committee defines the retention period for each record category and data-capture format, matching National Medical Commission and state authority rules. The worked example below shows a real entry: OT register, As defined by hospital policy and applicable statutory requirement, Hospital retention policy.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Destroying a clinical record before its legally required retention period ends can leave the hospital unable to defend itself in a future medico-legal case, while keeping everything forever with no defined period is its own unmanaged risk. This record proves a real retention period is defined for each record category, matching National Medical Commission and state authority rules.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Register/Form/Data-Capture Format: </w:t>
      </w:r>
      <w:r>
        <w:t>The specific register, form, or data-capture format — this is distinct from a patient's clinical record; name the actual register/form.</w:t>
      </w:r>
    </w:p>
    <w:p>
      <w:pPr>
        <w:pStyle w:val="ListParagraph"/>
      </w:pPr>
      <w:r>
        <w:rPr>
          <w:b/>
        </w:rPr>
        <w:t xml:space="preserve">Retention Period: </w:t>
      </w:r>
      <w:r>
        <w:t>The actual retention period defined for this format.</w:t>
      </w:r>
    </w:p>
    <w:p>
      <w:pPr>
        <w:pStyle w:val="ListParagraph"/>
      </w:pPr>
      <w:r>
        <w:rPr>
          <w:b/>
        </w:rPr>
        <w:t xml:space="preserve">Basis: </w:t>
      </w:r>
      <w:r>
        <w:t>The real basis this period is set on.</w:t>
      </w:r>
    </w:p>
    <w:p>
      <w:pPr>
        <w:pStyle w:val="ListParagraph"/>
      </w:pPr>
      <w:r>
        <w:rPr>
          <w:b/>
        </w:rPr>
        <w:t xml:space="preserve">Destruction Due Date: </w:t>
      </w:r>
      <w:r>
        <w:t>The calculated destruction-due date.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Register/Form/Data-Capture Format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Retention 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Destruction Due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OT register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As defined by hospital policy and applicable statutory requirement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Hospital retention policy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Calculated per register's closing date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