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IMS.7.e — Active/discharged mix.</w:t>
      </w:r>
    </w:p>
    <w:p>
      <w:r>
        <w:rPr>
          <w:b/>
          <w:sz w:val="30"/>
        </w:rPr>
        <w:t>IMS.7 Record 5 — Active/discharged mix.</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“Sample-composition record confirming an adequate mix of active and discharged patient records.” — the specific evidence element Active/discharged mix. of this policy asks for. Every time this happens for real, whoever is responsible adds one new row below with: Review Cycle, Active Records in Sample, Discharged Records in Sample, Mix Adequate (Y/N).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confirms the sample composition includes an adequate mix of active and discharged records before the review is finalised. The worked example below shows a real entry: Q1 2026, 8, 38.</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Reviewing only discharged records misses the problems building up in records still open — active in-patient charts have their own, different risks. This record proves the review sample genuinely included both active and discharged patients, in an adequate mix.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Review Cycle: </w:t>
      </w:r>
      <w:r>
        <w:t>The specific review cycle — name it.</w:t>
      </w:r>
    </w:p>
    <w:p>
      <w:pPr>
        <w:pStyle w:val="ListParagraph"/>
      </w:pPr>
      <w:r>
        <w:rPr>
          <w:b/>
        </w:rPr>
        <w:t xml:space="preserve">Active Records in Sample: </w:t>
      </w:r>
      <w:r>
        <w:t>The actual number of active in-patient records sampled.</w:t>
      </w:r>
    </w:p>
    <w:p>
      <w:pPr>
        <w:pStyle w:val="ListParagraph"/>
      </w:pPr>
      <w:r>
        <w:rPr>
          <w:b/>
        </w:rPr>
        <w:t xml:space="preserve">Discharged Records in Sample: </w:t>
      </w:r>
      <w:r>
        <w:t>The actual number of discharged records sampled.</w:t>
      </w:r>
    </w:p>
    <w:p>
      <w:pPr>
        <w:pStyle w:val="ListParagraph"/>
      </w:pPr>
      <w:r>
        <w:rPr>
          <w:b/>
        </w:rPr>
        <w:t xml:space="preserve">Mix Adequate (Y/N): </w:t>
      </w:r>
      <w:r>
        <w:t>Whether this mix was actually judged adequate against the defined sampling principle — Y or N, check don't assume.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Cycle</w:t>
            </w:r>
          </w:p>
        </w:tc>
        <w:tc>
          <w:tcPr>
            <w:tcW w:type="dxa" w:w="2420"/>
            <w:shd w:val="clear" w:fill="D9E2F3"/>
          </w:tcPr>
          <w:p>
            <w:r/>
            <w:r>
              <w:rPr>
                <w:b/>
                <w:sz w:val="20"/>
              </w:rPr>
              <w:t>Active Records in Sample</w:t>
            </w:r>
          </w:p>
        </w:tc>
        <w:tc>
          <w:tcPr>
            <w:tcW w:type="dxa" w:w="2420"/>
            <w:shd w:val="clear" w:fill="D9E2F3"/>
          </w:tcPr>
          <w:p>
            <w:r/>
            <w:r>
              <w:rPr>
                <w:b/>
                <w:sz w:val="20"/>
              </w:rPr>
              <w:t>Discharged Records in Sample</w:t>
            </w:r>
          </w:p>
        </w:tc>
        <w:tc>
          <w:tcPr>
            <w:tcW w:type="dxa" w:w="2420"/>
            <w:shd w:val="clear" w:fill="D9E2F3"/>
          </w:tcPr>
          <w:p>
            <w:r/>
            <w:r>
              <w:rPr>
                <w:b/>
                <w:sz w:val="20"/>
              </w:rPr>
              <w:t>Mix Adequate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Q1 2026</w:t>
            </w:r>
          </w:p>
        </w:tc>
        <w:tc>
          <w:tcPr>
            <w:tcW w:type="dxa" w:w="2420"/>
            <w:shd w:val="clear" w:fill="FFF2CC"/>
          </w:tcPr>
          <w:p>
            <w:r/>
            <w:r>
              <w:rPr>
                <w:b w:val="0"/>
                <w:sz w:val="20"/>
              </w:rPr>
              <w:t>8</w:t>
            </w:r>
          </w:p>
        </w:tc>
        <w:tc>
          <w:tcPr>
            <w:tcW w:type="dxa" w:w="2420"/>
            <w:shd w:val="clear" w:fill="FFF2CC"/>
          </w:tcPr>
          <w:p>
            <w:r/>
            <w:r>
              <w:rPr>
                <w:b w:val="0"/>
                <w:sz w:val="20"/>
              </w:rPr>
              <w:t>38</w:t>
            </w:r>
          </w:p>
        </w:tc>
        <w:tc>
          <w:tcPr>
            <w:tcW w:type="dxa" w:w="2420"/>
            <w:shd w:val="clear" w:fill="FFF2CC"/>
          </w:tcPr>
          <w:p>
            <w:r/>
            <w:r>
              <w:rPr>
                <w:b w:val="0"/>
                <w:sz w:val="20"/>
              </w:rPr>
              <w:t>Y — reviewed against the defined sampling principle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