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IPC.2.a — IPC budget</w:t>
      </w:r>
    </w:p>
    <w:p>
      <w:r>
        <w:rPr>
          <w:b/>
          <w:sz w:val="30"/>
        </w:rPr>
        <w:t>IPC.2 Record 1 — IPC budget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“Annual budget document showing a demarcated IPC line.” — the specific evidence element IPC.2.a (CORE)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Finance and the IPC Officer confirm this once a year at budget approval, and whenever stock is actually checked. The worked example below shows a real entry: on 01-Jan-2026, version was “v1.0”, approved by was “IPC Officer + Medical Superintendent”, confirms this bullet is covered was “Annual budget document showing a demarcated IPC line”.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Good intentions don't buy PPE, hand rub, or hand-hygiene sinks. A demarcated line in the real budget, backed by stock that's actually available, is the proof that infection control has protected funding behind it — not just a policy with no resources to carry it out.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Annual budget document showing a demarcated IPC line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IPC.2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