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IPC.3.d — Safe injection</w:t>
      </w:r>
    </w:p>
    <w:p>
      <w:r>
        <w:rPr>
          <w:b/>
          <w:sz w:val="30"/>
        </w:rPr>
        <w:t>IPC.3 Record 11 — Safe injection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“Records confirming puncture-proof sharps containers are at the point of use.” — the specific evidence element IPC.3.d (CORE*)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injection practice is actually reviewed, or a needle-stick event genuinely occurs. The worked example below shows a real entry: on 10-Jan-2026, area / item checked was “Puncture-proof sharps container at point of use, needle-stick log reviewed — ICU”,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Reusing a needle or syringe on a second patient — even changing only the needle — is a well-documented way bloodborne infections like Hepatitis B and HIV get transmitted between patients. This record is the audit trail proving the one-needle-one-syringe-one-time rule is actually followed, not just written into policy.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Puncture-proof sharps container at point of use, needle-stick log reviewed —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