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IPC.3.f — Antimicrobial stewardship programme</w:t>
      </w:r>
    </w:p>
    <w:p>
      <w:r>
        <w:rPr>
          <w:b/>
          <w:sz w:val="30"/>
        </w:rPr>
        <w:t>IPC.3 Record 18 — Antimicrobial stewardship programme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“Antimicrobial stewardship forum meeting minutes.” — the specific evidence element IPC.3.f (CORE)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a restricted-agent request logs a new entry the moment it's actually approved, deviated from, or escalated as a stop-work event. The worked example below shows a real entry: on 15-Jan-2026, attendees was “IPCO, IPCNs, Nursing Supt., Microbiologist, Admin rep.”, key decisions / agenda items was “Reviewed monthly HAI rates; approved new hand-hygiene audit schedule”, owner was “IPC Nurse”.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restricted-antibiotic list means nothing if anyone can still prescribe it without oversight. This record is the proof that restricted agents actually go through the approval mechanism, and that when someone bypasses it, that deviation gets caught, tracked with a CAPA, and closed — not quietly ignored. This is a CORE requirement — NABH treats it as non-negotiable, not aspirational.</w:t>
            </w:r>
          </w:p>
        </w:tc>
      </w:tr>
    </w:tbl>
    <w:p/>
    <w:p>
      <w:r>
        <w:rPr>
          <w:b/>
          <w:sz w:val="22"/>
        </w:rPr>
        <w:t>How to fill this in — column by column</w:t>
      </w:r>
    </w:p>
    <w:p>
      <w:pPr>
        <w:pStyle w:val="ListParagraph"/>
      </w:pPr>
      <w:r>
        <w:rPr>
          <w:b/>
        </w:rPr>
        <w:t xml:space="preserve">Meeting Date: </w:t>
      </w:r>
      <w:r>
        <w:t>The date of that month's IPC committee meeting — there must be one every month, don't leave gaps.</w:t>
      </w:r>
    </w:p>
    <w:p>
      <w:pPr>
        <w:pStyle w:val="ListParagraph"/>
      </w:pPr>
      <w:r>
        <w:rPr>
          <w:b/>
        </w:rPr>
        <w:t xml:space="preserve">Attendees: </w:t>
      </w:r>
      <w:r>
        <w:t>Everyone who actually attended, by name/designation — not just 'as per list.'</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IPCO, IPCNs, Nursing Supt., Microbiologist, Admin rep.</w:t>
            </w:r>
          </w:p>
        </w:tc>
        <w:tc>
          <w:tcPr>
            <w:tcW w:type="dxa" w:w="1936"/>
            <w:shd w:val="clear" w:fill="FFF2CC"/>
          </w:tcPr>
          <w:p>
            <w:r/>
            <w:r>
              <w:rPr>
                <w:b w:val="0"/>
                <w:sz w:val="20"/>
              </w:rPr>
              <w:t>Reviewed monthly HAI rates; approved new hand-hygiene audit schedule</w:t>
            </w:r>
          </w:p>
        </w:tc>
        <w:tc>
          <w:tcPr>
            <w:tcW w:type="dxa" w:w="1936"/>
            <w:shd w:val="clear" w:fill="FFF2CC"/>
          </w:tcPr>
          <w:p>
            <w:r/>
            <w:r>
              <w:rPr>
                <w:b w:val="0"/>
                <w:sz w:val="20"/>
              </w:rPr>
              <w:t>IPC Nurse</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