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IPC.4.d — Biomedical waste</w:t>
      </w:r>
    </w:p>
    <w:p>
      <w:r>
        <w:rPr>
          <w:b/>
          <w:sz w:val="30"/>
        </w:rPr>
        <w:t>IPC.4 Record 11 — Biomedical waste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BMW means Bio-Medical Waste — any waste generated during patient care that could carry infection (used syringes, dressings, blood-soiled items, etc.), which the law requires to be segregated and disposed of in a specific way. This record is where you keep the proof for: “PPE compliance records for BMW handlers.” — the specific evidence element IPC.4.d (CORE, Statute P2)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or audits BMW logs a new entry the moment a real batch is actually segregated, stored, handed over or monitored. The worked example below shows a real entry: on 10-Jan-2026, area / item checked was “Colour-coded segregation — Yellow bag, General Ward”,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Mishandled biomedical waste is both a direct legal violation under India's Bio-Medical Waste Management Rules and a real route for spreading infection to waste handlers, patients and the community outside the hospital. This record is the statutory proof of safe, compliant handling, from segregation at the point of generation through final authorised disposal.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Colour-coded segregation — Yellow bag, General Ward</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