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IPC.4.d — Biomedical waste</w:t>
      </w:r>
    </w:p>
    <w:p>
      <w:r>
        <w:rPr>
          <w:b/>
          <w:sz w:val="30"/>
        </w:rPr>
        <w:t>IPC.4 Record 14 — Biomedical waste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BMW means Bio-Medical Waste — any waste generated during patient care that could carry infection (used syringes, dressings, blood-soiled items, etc.), which the law requires to be segregated and disposed of in a specific way. This record is where you keep the proof for: “BMW monitoring records as per statutory requirements.” — the specific evidence element IPC.4.d (CORE, Statute P2)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or audits BMW logs a new entry the moment a real batch is actually segregated, stored, handed over or monitored. The worked example below shows a real entry: on 10-Jan-2026, area / item checked was “Colour-coded segregation — Yellow bag, General Ward”,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Mishandled biomedical waste is both a direct legal violation under India's Bio-Medical Waste Management Rules and a real route for spreading infection to waste handlers, patients and the community outside the hospital. This record is the statutory proof of safe, compliant handling, from segregation at the point of generation through final authorised disposal.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Colour-coded segregation — Yellow bag, General Ward</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