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IPC.4.e — Laundry and linen</w:t>
      </w:r>
    </w:p>
    <w:p>
      <w:r>
        <w:rPr>
          <w:b/>
          <w:sz w:val="30"/>
        </w:rPr>
        <w:t>IPC.4 Record 17 — Laundry and linen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“Change-of-linen documentation.” — the specific evidence element IPC.4.e (Commitment*)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linen logs a new entry the moment a real change-of-linen or handling step actually happens. The worked example below shows a real entry: on 10-Jan-2026, area / item checked was “Change of linen completed — General Ward Bed 8”,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Soiled linen carries the same organisms as the patient it came from, and mishandling it during collection, transport or storage spreads that risk well beyond the original bedside. This record proves clean and dirty linen genuinely never cross paths, in practice — not just on the flow diagram.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Change of linen completed — General Ward Bed 8</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