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IPC.5.a — CAUTI prevention bundle</w:t>
      </w:r>
    </w:p>
    <w:p>
      <w:r>
        <w:rPr>
          <w:b/>
          <w:sz w:val="30"/>
        </w:rPr>
        <w:t>IPC.5 Record 2 — CAUTI prevention bundle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CAUTI stands for Catheter-Associated Urinary Tract Infection — a bladder/urine infection that develops because of a urinary catheter left in a patient. This record is where you keep the proof for: “Compliance monitoring records for the CAUTI bundle.” — the specific evidence element IPC.5.a of this policy asks for. Every time this activity actually happens, whoever did it adds one new row below with: Date, Patient / UHID, Bundle Element Checked, Compliant (Y/N), Deviation Reason (if N),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bedside nurse logs a new row the moment a real catheterised patient's bundle compliance is actually checked. The worked example below shows a real entry: on 10-Jan-2026, patient / uhid was “UHID 20456”, bundle element checked was “Catheter necessity re-assessed daily”,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CAUTI is one of the most common and most preventable device-related infections, but only when a defined bundle of steps — catheter necessity reviewed daily, aseptic insertion, closed drainage — is followed every single time, not most of the time. This record proves the bundle is actually being followed at the bedside, and that the resulting CAUTI rate is tracked so the hospital knows if it's genuinely working.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w:t>
      </w:r>
    </w:p>
    <w:p>
      <w:pPr>
        <w:pStyle w:val="ListParagraph"/>
      </w:pPr>
      <w:r>
        <w:rPr>
          <w:b/>
        </w:rPr>
        <w:t xml:space="preserve">Patient / UHID: </w:t>
      </w:r>
      <w:r>
        <w:t>The patient's UHID or name.</w:t>
      </w:r>
    </w:p>
    <w:p>
      <w:pPr>
        <w:pStyle w:val="ListParagraph"/>
      </w:pPr>
      <w:r>
        <w:rPr>
          <w:b/>
        </w:rPr>
        <w:t xml:space="preserve">Bundle Element Checked: </w:t>
      </w:r>
      <w:r>
        <w:t>Which specific element of the prevention bundle this row checks — name it exactly, don't write 'bundle compliance' generically.</w:t>
      </w:r>
    </w:p>
    <w:p>
      <w:pPr>
        <w:pStyle w:val="ListParagraph"/>
      </w:pPr>
      <w:r>
        <w:rPr>
          <w:b/>
        </w:rPr>
        <w:t xml:space="preserve">Compliant (Y/N): </w:t>
      </w:r>
      <w:r>
        <w:t>Y or N.</w:t>
      </w:r>
    </w:p>
    <w:p>
      <w:pPr>
        <w:pStyle w:val="ListParagraph"/>
      </w:pPr>
      <w:r>
        <w:rPr>
          <w:b/>
        </w:rPr>
        <w:t xml:space="preserve">Deviation Reason (if N): </w:t>
      </w:r>
      <w:r>
        <w:t>If N, why it wasn't followed.</w:t>
      </w:r>
    </w:p>
    <w:p>
      <w:pPr>
        <w:pStyle w:val="ListParagraph"/>
      </w:pPr>
      <w:r>
        <w:rPr>
          <w:b/>
        </w:rPr>
        <w:t xml:space="preserve">Action Taken: </w:t>
      </w:r>
      <w:r>
        <w:t>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w:t>
            </w:r>
          </w:p>
        </w:tc>
        <w:tc>
          <w:tcPr>
            <w:tcW w:type="dxa" w:w="1613"/>
            <w:shd w:val="clear" w:fill="D9E2F3"/>
          </w:tcPr>
          <w:p>
            <w:r/>
            <w:r>
              <w:rPr>
                <w:b/>
                <w:sz w:val="20"/>
              </w:rPr>
              <w:t>Patient / UHID</w:t>
            </w:r>
          </w:p>
        </w:tc>
        <w:tc>
          <w:tcPr>
            <w:tcW w:type="dxa" w:w="1613"/>
            <w:shd w:val="clear" w:fill="D9E2F3"/>
          </w:tcPr>
          <w:p>
            <w:r/>
            <w:r>
              <w:rPr>
                <w:b/>
                <w:sz w:val="20"/>
              </w:rPr>
              <w:t>Bundle Element Checked</w:t>
            </w:r>
          </w:p>
        </w:tc>
        <w:tc>
          <w:tcPr>
            <w:tcW w:type="dxa" w:w="1613"/>
            <w:shd w:val="clear" w:fill="D9E2F3"/>
          </w:tcPr>
          <w:p>
            <w:r/>
            <w:r>
              <w:rPr>
                <w:b/>
                <w:sz w:val="20"/>
              </w:rPr>
              <w:t>Compliant (Y/N)</w:t>
            </w:r>
          </w:p>
        </w:tc>
        <w:tc>
          <w:tcPr>
            <w:tcW w:type="dxa" w:w="1613"/>
            <w:shd w:val="clear" w:fill="D9E2F3"/>
          </w:tcPr>
          <w:p>
            <w:r/>
            <w:r>
              <w:rPr>
                <w:b/>
                <w:sz w:val="20"/>
              </w:rPr>
              <w:t>Deviation Reason (if N)</w:t>
            </w:r>
          </w:p>
        </w:tc>
        <w:tc>
          <w:tcPr>
            <w:tcW w:type="dxa" w:w="1613"/>
            <w:shd w:val="clear" w:fill="D9E2F3"/>
          </w:tcPr>
          <w:p>
            <w:r/>
            <w:r>
              <w:rPr>
                <w:b/>
                <w:sz w:val="20"/>
              </w:rPr>
              <w:t>Action Taken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10-Jan-2026</w:t>
            </w:r>
          </w:p>
        </w:tc>
        <w:tc>
          <w:tcPr>
            <w:tcW w:type="dxa" w:w="1613"/>
            <w:shd w:val="clear" w:fill="FFF2CC"/>
          </w:tcPr>
          <w:p>
            <w:r/>
            <w:r>
              <w:rPr>
                <w:b w:val="0"/>
                <w:sz w:val="20"/>
              </w:rPr>
              <w:t>UHID 20456</w:t>
            </w:r>
          </w:p>
        </w:tc>
        <w:tc>
          <w:tcPr>
            <w:tcW w:type="dxa" w:w="1613"/>
            <w:shd w:val="clear" w:fill="FFF2CC"/>
          </w:tcPr>
          <w:p>
            <w:r/>
            <w:r>
              <w:rPr>
                <w:b w:val="0"/>
                <w:sz w:val="20"/>
              </w:rPr>
              <w:t>Catheter necessity re-assessed daily</w:t>
            </w:r>
          </w:p>
        </w:tc>
        <w:tc>
          <w:tcPr>
            <w:tcW w:type="dxa" w:w="1613"/>
            <w:shd w:val="clear" w:fill="FFF2CC"/>
          </w:tcPr>
          <w:p>
            <w:r/>
            <w:r>
              <w:rPr>
                <w:b w:val="0"/>
                <w:sz w:val="20"/>
              </w:rPr>
              <w:t>Y</w:t>
            </w:r>
          </w:p>
        </w:tc>
        <w:tc>
          <w:tcPr>
            <w:tcW w:type="dxa" w:w="1613"/>
            <w:shd w:val="clear" w:fill="FFF2CC"/>
          </w:tcPr>
          <w:p>
            <w:r/>
            <w:r>
              <w:rPr>
                <w:b w:val="0"/>
                <w:sz w:val="20"/>
              </w:rPr>
              <w:t>—</w:t>
            </w:r>
          </w:p>
        </w:tc>
        <w:tc>
          <w:tcPr>
            <w:tcW w:type="dxa" w:w="1613"/>
            <w:shd w:val="clear" w:fill="FFF2CC"/>
          </w:tcPr>
          <w:p>
            <w:r/>
            <w:r>
              <w:rPr>
                <w:b w:val="0"/>
                <w:sz w:val="20"/>
              </w:rPr>
              <w:t>—</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