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IPC.5.a — CAUTI prevention bundle</w:t>
      </w:r>
    </w:p>
    <w:p>
      <w:r>
        <w:rPr>
          <w:b/>
          <w:sz w:val="30"/>
        </w:rPr>
        <w:t>IPC.5 Record 3 — CAUTI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CAUTI stands for Catheter-Associated Urinary Tract Infection — a bladder/urine infection that develops because of a urinary catheter left in a patient. This record is where you keep the proof for: “CAUTI rate tracking records as part of the IPC surveillance programme.” — the specific evidence element IPC.5.a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catheterised patient's bundle compliance is actually checked. The worked example below shows a real entry: on 10-Jan-2026, patient / uhid was “UHID 20456”, bundle element checked was “Catheter necessity re-assessed daily”,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CAUTI is one of the most common and most preventable device-related infections, but only when a defined bundle of steps — catheter necessity reviewed daily, aseptic insertion, closed drainage — is followed every single time, not most of the time. This record proves the bundle is actually being followed at the bedside, and that the resulting CAUTI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Catheter necessity re-assessed daily</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