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IPC.6.a — Infection risk, rate and trend tracking</w:t>
      </w:r>
    </w:p>
    <w:p>
      <w:r>
        <w:rPr>
          <w:b/>
          <w:sz w:val="30"/>
        </w:rPr>
        <w:t>IPC.6 Record 2 — Infection risk, rate and trend tracking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“Evidence that risk-adjusted rates (not only numerator counts) are calculated.” — the specific evidence element IPC.6.a (CORE) of this policy asks for. Every time this activity actually happens, whoever did it adds one new row below with: Period, Numerator (Cases), Denominator (Patient-days/Device-days), Risk-Adjusted Rate, Calculated By.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IPC Nurse logs a new entry each surveillance period once the real, risk-adjusted rate is actually calculated. The worked example below shows a real entry: on Jan-2026, numerator (cases) was “3 CAUTI cases”, denominator (patient-days/device-days) was “1250 catheter-days”, risk-adjusted rate was “2.4 per 1000 catheter-days”.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raw infection count means little on its own — five CAUTIs mean something very different in a 50-bed ICU's patient-days versus a 500-bed one's. This record proves the hospital calculates a risk-adjusted rate, not just a headline number, and actually acts on what the trend shows rather than just filing it. This is a CORE requirement — NABH treats it as non-negotiable, not aspirational.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Period: </w:t>
      </w:r>
      <w:r>
        <w:t>The actual reporting period.</w:t>
      </w:r>
    </w:p>
    <w:p>
      <w:pPr>
        <w:pStyle w:val="ListParagraph"/>
      </w:pPr>
      <w:r>
        <w:rPr>
          <w:b/>
        </w:rPr>
        <w:t xml:space="preserve">Numerator (Cases): </w:t>
      </w:r>
      <w:r>
        <w:t>The real case count for that period.</w:t>
      </w:r>
    </w:p>
    <w:p>
      <w:pPr>
        <w:pStyle w:val="ListParagraph"/>
      </w:pPr>
      <w:r>
        <w:rPr>
          <w:b/>
        </w:rPr>
        <w:t xml:space="preserve">Denominator (Patient-days/Device-days): </w:t>
      </w:r>
      <w:r>
        <w:t>The real denominator — patient-days or device-days, not bed count.</w:t>
      </w:r>
    </w:p>
    <w:p>
      <w:pPr>
        <w:pStyle w:val="ListParagraph"/>
      </w:pPr>
      <w:r>
        <w:rPr>
          <w:b/>
        </w:rPr>
        <w:t xml:space="preserve">Risk-Adjusted Rate: </w:t>
      </w:r>
      <w:r>
        <w:t>The calculated rate — this is what actually gets compared month to month, not the raw case count.</w:t>
      </w:r>
    </w:p>
    <w:p>
      <w:pPr>
        <w:pStyle w:val="ListParagraph"/>
      </w:pPr>
      <w:r>
        <w:rPr>
          <w:b/>
        </w:rPr>
        <w:t xml:space="preserve">Calculated By: </w:t>
      </w:r>
      <w:r>
        <w:t>Who did the calculation.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Period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Numerator (Cases)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Denominator (Patient-days/Device-days)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Risk-Adjusted Rate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Calculated By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3 CAUTI cases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1250 catheter-days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2.4 per 1000 catheter-days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IPC Nurse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