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IPC.6.f — Housekeeping effectiveness monitoring</w:t>
      </w:r>
    </w:p>
    <w:p>
      <w:r>
        <w:rPr>
          <w:b/>
          <w:sz w:val="30"/>
        </w:rPr>
        <w:t>IPC.6 Record 11 — Housekeeping effectiveness monitoring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“Defined outcome parameters for housekeeping effectiveness monitoring.” — the specific evidence element IPC.6.f (CORE) of this policy asks for. Every time this activity actually happens, whoever did it adds one new row below with: Parameter, Target/Threshold, Measurement Method, Date Defined.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monitors logs a new entry the moment a real outcome check is actually carried out against the defined parameters. The worked example below shows a real entry: on 01-Jan-2026, parameter was “ATP bioluminescence reading on high-touch surfaces”, target/threshold was “&lt; 250 RLU”, measurement method was “ATP swab post-cleaning, sampled areas”.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'The floor looks clean' is not a measurable outcome, and unrestricted fogging or routine microbiological surface swabbing are both practices the evidence specifically advises against. This record proves cleaning effectiveness is checked against defined, measurable outcome parameters, and that fogging — if used at all — stayed strictly within the specific conditions where it's actually justified. This is a CORE requirement — NABH treats it as non-negotiable, not aspirational.</w:t>
            </w:r>
          </w:p>
        </w:tc>
      </w:tr>
    </w:tbl>
    <w:p/>
    <w:p>
      <w:r>
        <w:rPr>
          <w:b/>
          <w:sz w:val="22"/>
        </w:rPr>
        <w:t>How to fill this in — column by column</w:t>
      </w:r>
    </w:p>
    <w:p>
      <w:pPr>
        <w:pStyle w:val="ListParagraph"/>
      </w:pPr>
      <w:r>
        <w:rPr>
          <w:b/>
        </w:rPr>
        <w:t xml:space="preserve">Parameter: </w:t>
      </w:r>
      <w:r>
        <w:t>The specific, measurable outcome parameter actually used — not 'looks clean.'</w:t>
      </w:r>
    </w:p>
    <w:p>
      <w:pPr>
        <w:pStyle w:val="ListParagraph"/>
      </w:pPr>
      <w:r>
        <w:rPr>
          <w:b/>
        </w:rPr>
        <w:t xml:space="preserve">Target/Threshold: </w:t>
      </w:r>
      <w:r>
        <w:t>The actual numeric target or threshold.</w:t>
      </w:r>
    </w:p>
    <w:p>
      <w:pPr>
        <w:pStyle w:val="ListParagraph"/>
      </w:pPr>
      <w:r>
        <w:rPr>
          <w:b/>
        </w:rPr>
        <w:t xml:space="preserve">Measurement Method: </w:t>
      </w:r>
      <w:r>
        <w:t>How it's actually measured.</w:t>
      </w:r>
    </w:p>
    <w:p>
      <w:pPr>
        <w:pStyle w:val="ListParagraph"/>
      </w:pPr>
      <w:r>
        <w:rPr>
          <w:b/>
        </w:rPr>
        <w:t xml:space="preserve">Date Defined: </w:t>
      </w:r>
      <w:r>
        <w:t>The date this parameter was defined — review if it stops being useful.</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Parameter</w:t>
            </w:r>
          </w:p>
        </w:tc>
        <w:tc>
          <w:tcPr>
            <w:tcW w:type="dxa" w:w="2420"/>
            <w:shd w:val="clear" w:fill="D9E2F3"/>
          </w:tcPr>
          <w:p>
            <w:r/>
            <w:r>
              <w:rPr>
                <w:b/>
                <w:sz w:val="20"/>
              </w:rPr>
              <w:t>Target/Threshold</w:t>
            </w:r>
          </w:p>
        </w:tc>
        <w:tc>
          <w:tcPr>
            <w:tcW w:type="dxa" w:w="2420"/>
            <w:shd w:val="clear" w:fill="D9E2F3"/>
          </w:tcPr>
          <w:p>
            <w:r/>
            <w:r>
              <w:rPr>
                <w:b/>
                <w:sz w:val="20"/>
              </w:rPr>
              <w:t>Measurement Method</w:t>
            </w:r>
          </w:p>
        </w:tc>
        <w:tc>
          <w:tcPr>
            <w:tcW w:type="dxa" w:w="2420"/>
            <w:shd w:val="clear" w:fill="D9E2F3"/>
          </w:tcPr>
          <w:p>
            <w:r/>
            <w:r>
              <w:rPr>
                <w:b/>
                <w:sz w:val="20"/>
              </w:rPr>
              <w:t>Date Defined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ATP bioluminescence reading on high-touch surfaces</w:t>
            </w:r>
          </w:p>
        </w:tc>
        <w:tc>
          <w:tcPr>
            <w:tcW w:type="dxa" w:w="2420"/>
            <w:shd w:val="clear" w:fill="FFF2CC"/>
          </w:tcPr>
          <w:p>
            <w:r/>
            <w:r>
              <w:rPr>
                <w:b w:val="0"/>
                <w:sz w:val="20"/>
              </w:rPr>
              <w:t>&lt; 250 RLU</w:t>
            </w:r>
          </w:p>
        </w:tc>
        <w:tc>
          <w:tcPr>
            <w:tcW w:type="dxa" w:w="2420"/>
            <w:shd w:val="clear" w:fill="FFF2CC"/>
          </w:tcPr>
          <w:p>
            <w:r/>
            <w:r>
              <w:rPr>
                <w:b w:val="0"/>
                <w:sz w:val="20"/>
              </w:rPr>
              <w:t>ATP swab post-cleaning, sampled areas</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