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IPC.6.i — Surveillance data CAPA</w:t>
      </w:r>
    </w:p>
    <w:p>
      <w:r>
        <w:rPr>
          <w:b/>
          <w:sz w:val="30"/>
        </w:rPr>
        <w:t>IPC.6 Record 22 — Surveillance data CAPA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“Open-action tracking records showing owners, due dates, and evidence of closure.” — the specific evidence element IPC.6.i of this policy asks for. Every time this activity actually happens, whoever did it adds one new row below with: Date, Area / Item Checked, Compliant (Y/N), Deviation Noted, Corrective Action.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The IPC Committee logs a new entry right after a real meeting where surveillance data actually drove a CAPA decision. The worked example below shows a real entry: on 10-Jan-2026, area / item checked was “Open CAPA from Dec-2025 surveillance review, tracked to closure”, compliant (y/n) was “Y”.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Surveillance is wasted effort if the findings never turn into an actual decision. This record is the proof that the committee reviewed the data, decided on a corrective action, and tracked it to a real close — not left it open and forgotten in the minutes. NABH checks this as part of how a functioning IPC programme actually runs day to day.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Date: </w:t>
      </w:r>
      <w:r>
        <w:t>Date of the check/audit.</w:t>
      </w:r>
    </w:p>
    <w:p>
      <w:pPr>
        <w:pStyle w:val="ListParagraph"/>
      </w:pPr>
      <w:r>
        <w:rPr>
          <w:b/>
        </w:rPr>
        <w:t xml:space="preserve">Area / Item Checked: </w:t>
      </w:r>
      <w:r>
        <w:t>Exactly what was checked and where.</w:t>
      </w:r>
    </w:p>
    <w:p>
      <w:pPr>
        <w:pStyle w:val="ListParagraph"/>
      </w:pPr>
      <w:r>
        <w:rPr>
          <w:b/>
        </w:rPr>
        <w:t xml:space="preserve">Compliant (Y/N): </w:t>
      </w:r>
      <w:r>
        <w:t>Write Y or N — don't leave this ambiguous.</w:t>
      </w:r>
    </w:p>
    <w:p>
      <w:pPr>
        <w:pStyle w:val="ListParagraph"/>
      </w:pPr>
      <w:r>
        <w:rPr>
          <w:b/>
        </w:rPr>
        <w:t xml:space="preserve">Deviation Noted: </w:t>
      </w:r>
      <w:r>
        <w:t>If N, describe what was wrong. If Y, write '—'.</w:t>
      </w:r>
    </w:p>
    <w:p>
      <w:pPr>
        <w:pStyle w:val="ListParagraph"/>
      </w:pPr>
      <w:r>
        <w:rPr>
          <w:b/>
        </w:rPr>
        <w:t xml:space="preserve">Corrective Action: </w:t>
      </w:r>
      <w:r>
        <w:t>If N, what was done about it and by when.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1936"/>
        <w:gridCol w:w="1936"/>
        <w:gridCol w:w="1936"/>
        <w:gridCol w:w="1936"/>
        <w:gridCol w:w="1936"/>
      </w:tblGrid>
      <w:tr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Area / Item Checked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Compliant (Y/N)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Deviation Noted</w:t>
            </w:r>
          </w:p>
        </w:tc>
        <w:tc>
          <w:tcPr>
            <w:tcW w:type="dxa" w:w="1936"/>
            <w:shd w:val="clear" w:fill="D9E2F3"/>
          </w:tcPr>
          <w:p>
            <w:r/>
            <w:r>
              <w:rPr>
                <w:b/>
                <w:sz w:val="20"/>
              </w:rPr>
              <w:t>Corrective Action</w:t>
            </w:r>
          </w:p>
        </w:tc>
      </w:tr>
      <w:tr>
        <w:tc>
          <w:tcPr>
            <w:tcW w:type="dxa" w:w="9680"/>
            <w:gridSpan w:val="5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10-Jan-2026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Open CAPA from Dec-2025 surveillance review, tracked to closure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Y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  <w:tc>
          <w:tcPr>
            <w:tcW w:type="dxa" w:w="1936"/>
            <w:shd w:val="clear" w:fill="FFF2CC"/>
          </w:tcPr>
          <w:p>
            <w:r/>
            <w:r>
              <w:rPr>
                <w:b w:val="0"/>
                <w:sz w:val="20"/>
              </w:rPr>
              <w:t>—</w:t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1936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