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IPC.7.d — Validation test records</w:t>
      </w:r>
    </w:p>
    <w:p>
      <w:r>
        <w:rPr>
          <w:b/>
          <w:sz w:val="30"/>
        </w:rPr>
        <w:t>IPC.7 Record 13 — Validation test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“Weekly biological indicator records.” — the specific evidence element IPC.7.d (Commitment*) of this policy asks for. Every time this activity actually happens, whoever did it adds one new row below with: Date, Load Number, Indicator Type, Result, Recorded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logs a new entry for every real sterilisation load, daily for physical/chemical indicators and weekly for biological ones. The worked example below shows a real entry: on 10-Jan-2026, load number was “AUT-2026-0110-03”, indicator type was “Biological Indicator (spore test)”, recorded by was “CSSD Technician” — so result was “Pass”.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sterilizer can complete its full cycle and still fail to actually sterilise its contents, because of a blocked drain, a wrong load, or a fault that looks completely normal from the outside. Physical, chemical and biological indicator tests are the only way to know a specific load was genuinely sterile, and this record is that proof, load by load — not an assumption that the machine did its job.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test — weekly.</w:t>
      </w:r>
    </w:p>
    <w:p>
      <w:pPr>
        <w:pStyle w:val="ListParagraph"/>
      </w:pPr>
      <w:r>
        <w:rPr>
          <w:b/>
        </w:rPr>
        <w:t xml:space="preserve">Load Number: </w:t>
      </w:r>
      <w:r>
        <w:t>The specific load this test belongs to.</w:t>
      </w:r>
    </w:p>
    <w:p>
      <w:pPr>
        <w:pStyle w:val="ListParagraph"/>
      </w:pPr>
      <w:r>
        <w:rPr>
          <w:b/>
        </w:rPr>
        <w:t xml:space="preserve">Indicator Type: </w:t>
      </w:r>
      <w:r>
        <w:t>Which indicator type this row is for.</w:t>
      </w:r>
    </w:p>
    <w:p>
      <w:pPr>
        <w:pStyle w:val="ListParagraph"/>
      </w:pPr>
      <w:r>
        <w:rPr>
          <w:b/>
        </w:rPr>
        <w:t xml:space="preserve">Result: </w:t>
      </w:r>
      <w:r>
        <w:t>Pass or fail — if fail, the load must be held and the recall procedure triggered.</w:t>
      </w:r>
    </w:p>
    <w:p>
      <w:pPr>
        <w:pStyle w:val="ListParagraph"/>
      </w:pPr>
      <w:r>
        <w:rPr>
          <w:b/>
        </w:rPr>
        <w:t xml:space="preserve">Recorded By: </w:t>
      </w:r>
      <w:r>
        <w:t>Who actually ran the test.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Load Number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Indicator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AUT-2026-0110-03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Biological Indicator (spore test)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CSSD Technician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