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MOM.1.a — Written guidance for medication management (Commitment*)</w:t>
      </w:r>
    </w:p>
    <w:p>
      <w:r>
        <w:rPr>
          <w:b/>
          <w:sz w:val="30"/>
        </w:rPr>
        <w:t>MOM.1 Record 1 — Medication Management Manual Coverage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Medication Management Manual is the single written document that lays out, in one place, how the hospital handles medications from end to end — procurement, storage, prescribing, ordering, dispensing, administration and monitoring, including high-risk drugs — and names the qualified person responsible for it. It's meant to apply the same way in every patient care area, not vary department by department. Confirms the single Medication Management Manual exists, names the qualified supervising person, and covers every patient care area. Every time this happens for real, whoever is responsible adds one new row to the table below, filling in: Patient Care Area, Covered in Manual (Y/N), Section Reference, Reviewed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the single Medication Management Manual exists, names the qualified supervising person, and covers every patient care area. The worked example below shows a real entry: patient care area was “ICU”, covered in manual (y/n) was “Yes”, section reference was “Section 4.2”.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Care Area: </w:t>
      </w:r>
      <w:r>
        <w:t>Which department, ward or care area this relates to (e.g. ICU, OPD, general ward) — not an individual patient. The worked example row below shows 'ICU' in this column, so you can see the level of detail expected — write your own real entry in that same style, not a copy of the example.</w:t>
      </w:r>
    </w:p>
    <w:p>
      <w:pPr>
        <w:pStyle w:val="ListParagraph"/>
      </w:pPr>
      <w:r>
        <w:rPr>
          <w:b/>
        </w:rPr>
        <w:t xml:space="preserve">Covered in Manual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Section Reference: </w:t>
      </w:r>
      <w:r>
        <w:t>Which section/page of the source document this maps to. The worked example row below shows 'Section 4.2' in this column, so you can see the level of detail expected — write your own real entry in that same style, not a copy of the example.</w:t>
      </w:r>
    </w:p>
    <w:p>
      <w:pPr>
        <w:pStyle w:val="ListParagraph"/>
      </w:pPr>
      <w:r>
        <w:rPr>
          <w:b/>
        </w:rPr>
        <w:t xml:space="preserve">Reviewed By: </w:t>
      </w:r>
      <w:r>
        <w:t>Name of whoever actually did the check — this is the person accountable if the check turns out to be wrong. The worked example row below shows 'Chief Pharmacist'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Care Area</w:t>
            </w:r>
          </w:p>
        </w:tc>
        <w:tc>
          <w:tcPr>
            <w:tcW w:type="dxa" w:w="2420"/>
            <w:shd w:val="clear" w:fill="D9E2F3"/>
          </w:tcPr>
          <w:p>
            <w:r/>
            <w:r>
              <w:rPr>
                <w:b/>
                <w:sz w:val="20"/>
              </w:rPr>
              <w:t>Covered in Manual (Y/N)</w:t>
            </w:r>
          </w:p>
        </w:tc>
        <w:tc>
          <w:tcPr>
            <w:tcW w:type="dxa" w:w="2420"/>
            <w:shd w:val="clear" w:fill="D9E2F3"/>
          </w:tcPr>
          <w:p>
            <w:r/>
            <w:r>
              <w:rPr>
                <w:b/>
                <w:sz w:val="20"/>
              </w:rPr>
              <w:t>Section Reference</w:t>
            </w:r>
          </w:p>
        </w:tc>
        <w:tc>
          <w:tcPr>
            <w:tcW w:type="dxa" w:w="2420"/>
            <w:shd w:val="clear" w:fill="D9E2F3"/>
          </w:tcPr>
          <w:p>
            <w:r/>
            <w:r>
              <w:rPr>
                <w:b/>
                <w:sz w:val="20"/>
              </w:rPr>
              <w:t>Reviewed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ICU</w:t>
            </w:r>
          </w:p>
        </w:tc>
        <w:tc>
          <w:tcPr>
            <w:tcW w:type="dxa" w:w="2420"/>
            <w:shd w:val="clear" w:fill="FFF2CC"/>
          </w:tcPr>
          <w:p>
            <w:r/>
            <w:r>
              <w:rPr>
                <w:b w:val="0"/>
                <w:sz w:val="20"/>
              </w:rPr>
              <w:t>Yes</w:t>
            </w:r>
          </w:p>
        </w:tc>
        <w:tc>
          <w:tcPr>
            <w:tcW w:type="dxa" w:w="2420"/>
            <w:shd w:val="clear" w:fill="FFF2CC"/>
          </w:tcPr>
          <w:p>
            <w:r/>
            <w:r>
              <w:rPr>
                <w:b w:val="0"/>
                <w:sz w:val="20"/>
              </w:rPr>
              <w:t>Section 4.2</w:t>
            </w:r>
          </w:p>
        </w:tc>
        <w:tc>
          <w:tcPr>
            <w:tcW w:type="dxa" w:w="2420"/>
            <w:shd w:val="clear" w:fill="FFF2CC"/>
          </w:tcPr>
          <w:p>
            <w:r/>
            <w:r>
              <w:rPr>
                <w:b w:val="0"/>
                <w:sz w:val="20"/>
              </w:rPr>
              <w:t>Chief Pharmacist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