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MOM.3.a — Clean, safe, secure storage (CORE)</w:t>
      </w:r>
    </w:p>
    <w:p>
      <w:r>
        <w:rPr>
          <w:b/>
          <w:sz w:val="30"/>
        </w:rPr>
        <w:t>MOM.3 Record 2 — Storage Temperature Monitoring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temperature is checked at least once a day or every working day, and expired medications are separated. Every time this happens for real, whoever is responsible adds one new row to the table below, filling in: Date, Storage Area, Temperature Recorded, Within Range (Y/N), Expired Stock Separated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temperature is checked at least once a day or every working day, and expired medications are separated. The worked example below shows a real entry: on 05-Feb-2026, storage area was “Pharmacy fridge”, temperature recorded was “4°C”, within range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NABH treats this element as CORE/a Commitment — meaning it's considered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'05-Feb-2026'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Storage Area: </w:t>
      </w:r>
      <w:r>
        <w:t>Which department, ward or area this relates to. The worked example row below shows 'Pharmacy fridge'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Temperature Recorded: </w:t>
      </w:r>
      <w:r>
        <w:t>Enter the actual temperature recorded for this specific entry — real information from what actually happened, not a placeholder. The worked example row below shows '4°C'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Within Range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Expired Stock Separated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Storage 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Temperature Recorded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Within Range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Expired Stock Separated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Pharmacy fridge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4°C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