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MOM.3.d — High-risk medication storage safeguards (Achievement)</w:t>
      </w:r>
    </w:p>
    <w:p>
      <w:r>
        <w:rPr>
          <w:b/>
          <w:sz w:val="30"/>
        </w:rPr>
        <w:t>MOM.3 Record 5 — High-Risk Medication Storage Safeguard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not just where a high-risk medication is stored and how it's safeguarded, but why it's clinically necessary at that specific location — a location alone doesn't justify the risk of keeping it there; this record shows the clinical reasoning and who approved it. Every time this happens for real, whoever is responsible adds one new row to the table below, filling in: Medication, Storage Location, Clinical Necessity / Reason for This Location, Safeguard Used, Approval Reference, Review Date, Verified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not just where a high-risk medication is stored and how it's safeguarded, but why it's clinically necessary at that specific location — a location alone doesn't justify the risk of keeping it there; this record shows the clinical reasoning and who approved it. The worked example below shows a real entry: on 01-Jul-2026, medication was “Conc. KCl”, storage location was “Locked cabinet, pharmacy only; ICU code cart (emergency use)”, clinical necessity / reason for this location was “ICU requires immediate access for the cardiac-arrest protocol; general wards do not stock it, to reduce inadvertent-administration risk”.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Medication storage that's never checked drifts out of compliance quietly — wrong temperature, wrong separation, wrong access — until an assessor or a patient finds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'Conc. KCl'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Storage Location: </w:t>
      </w:r>
      <w:r>
        <w:t>Exactly where — specific enough that someone unfamiliar with the building could find it. The worked example row below shows 'Locked cabinet, pharmacy only; ICU code cart (emergency use)'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Clinical Necessity / Reason for This Location: </w:t>
      </w:r>
      <w:r>
        <w:t>Exactly where — specific enough that someone unfamiliar with the building could find it. The worked example row below shows 'ICU requires immediate access for the cardiac-arrest protocol; general wards do not stock it, to reduce inadvertent-administration risk'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Safeguard Used: </w:t>
      </w:r>
      <w:r>
        <w:t>Enter the actual safeguard used for this specific entry — real information from what actually happened, not a placeholder. The worked example row below shows 'Auxiliary warning label + double-lock + pharmacy sign-out log for the ICU cart'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Approval Reference: </w:t>
      </w:r>
      <w:r>
        <w:t>Enter the actual approval reference for this specific entry — real information from what actually happened, not a placeholder. The worked example row below shows 'P&amp;T Committee approval, Minute 14/2026'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'01-Jul-2026'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Verified By: </w:t>
      </w:r>
      <w:r>
        <w:t>Name of whoever actually did the check — this is the person accountable if the check turns out to be wrong. The worked example row below shows 'Pharmacy In-Charge'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Clinical Necessity / Reason for This Location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Safeguard Used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Approval Reference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Conc. KCl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Locked cabinet, pharmacy only; ICU code cart (emergency use)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ICU requires immediate access for the cardiac-arrest protocol; general wards do not stock it, to reduce inadvertent-administration risk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Auxiliary warning label + double-lock + pharmacy sign-out log for the ICU cart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P&amp;T Committee approval, Minute 14/2026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01-Jul-2026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Pharmacy In-Charge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