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MOM.4.b — Minimum prescription elements (CORE*)</w:t>
      </w:r>
    </w:p>
    <w:p>
      <w:r>
        <w:rPr>
          <w:b/>
          <w:sz w:val="30"/>
        </w:rPr>
        <w:t>MOM.4 Record 2 — Prescription Elements Compliance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every prescription carries all seven minimum elements, capital letters, and no error-prone abbreviations. Every time this happens for real, whoever is responsible adds one new row to the table below, filling in: Element, Present (Y/N), Notes.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every prescription carries all seven minimum elements, capital letters, and no error-prone abbreviations. The worked example below shows a real entry: element was “Patient name, age, weight (paediatric)”, present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rule that's never checked against real practice is just a document — this record is what proves it's actually being followed. NABH treats this element as CORE/a Commitment — meaning it's considered non-negotiable, not aspirational.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Element: </w:t>
      </w:r>
      <w:r>
        <w:t>Enter the actual element for this specific entry — real information from what actually happened, not a placeholder. The worked example row below shows 'Patient name, age, weight (paediatric)'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Notes: </w:t>
      </w:r>
      <w:r>
        <w:t>Enter the actual notes for this specific entry — real information from what actually happened, not a placeholder. The worked example row below shows '—'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Present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Patient name, age, weight (paediatric)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