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MOM.5.c — Capital letters, abbreviations, prescriber traceability (Commitment)</w:t>
      </w:r>
    </w:p>
    <w:p>
      <w:r>
        <w:rPr>
          <w:b/>
          <w:sz w:val="30"/>
        </w:rPr>
        <w:t>MOM.5 Record 4 — Order Legibility &amp; Abbreviation Compliance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capital letters for handwritten orders, use of the approved abbreviation list, no error-prone abbreviations, and prescriber-identity traceability. Every time this happens for real, whoever is responsible adds one new row to the table below, filling in: Order Sample, Capital Letters (Y/N), Approved Abbreviations Only (Y/N), Prescriber Identifiable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capital letters for handwritten orders, use of the approved abbreviation list, no error-prone abbreviations, and prescriber-identity traceability. The worked example below shows a real entry: order sample was “IP-2026-0410, 05-Feb”, capital letters (y/n) was “Yes”, approved abbreviations only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rule that's never checked against real practice is just a document — this record is what proves it's actually being followed.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Order Sample: </w:t>
      </w:r>
      <w:r>
        <w:t>Enter the actual order sample for this specific entry — real information from what actually happened, not a placeholder. The worked example row below shows 'IP-2026-0410, 05-Feb'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Capital Letters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Approved Abbreviations Only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Prescriber Identifiable (Y/N): </w:t>
      </w:r>
      <w:r>
        <w:t>Answer honestly with what's actually true — Y or N. Don't default to Y without checking. The worked example row below shows 'Yes — Dr. Rao, signed + stamped'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Order Sample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Capital Letters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Abbreviations Only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Prescriber Identifiable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IP-2026-0410, 05-Feb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 — Dr. Rao, signed + stamped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