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MOM.8.d — Reporting time frame (Commitment*)</w:t>
      </w:r>
    </w:p>
    <w:p>
      <w:r>
        <w:rPr>
          <w:b/>
          <w:sz w:val="30"/>
        </w:rPr>
        <w:t>MOM.8 Record 4 — Reporting Time Frame Compliance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near misses/errors/ADRs are reported within the organisation's defined time frame. Every time this happens for real, whoever is responsible adds one new row to the table below, filling in: Event Date, Reported Date, Defined Time Frame, Within Time Frame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near misses/errors/ADRs are reported within the organisation's defined time frame. The worked example below shows a real entry: on 08-Feb-2026, reported date was “08-Feb-2026”, defined time frame was “Same shift”, within time frame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Event Date: </w:t>
      </w:r>
      <w:r>
        <w:t>Enter the actual event date for this specific entry — real information from what actually happened, not a placeholder. The worked example row below shows '08-Feb-2026'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Reported Date: </w:t>
      </w:r>
      <w:r>
        <w:t>Enter the actual reported date for this specific entry — real information from what actually happened, not a placeholder. The worked example row below shows '08-Feb-2026'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Defined Time Frame: </w:t>
      </w:r>
      <w:r>
        <w:t>Enter the actual defined time frame for this specific entry — real information from what actually happened, not a placeholder. The worked example row below shows 'Same shift'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Within Time Frame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Event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Reported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Defined Time Frame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Within Time Frame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08-Feb-2026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08-Feb-2026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Same shift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