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PRE.1.b — Actively promoting rights beyond the display board</w:t>
      </w:r>
    </w:p>
    <w:p>
      <w:r>
        <w:rPr>
          <w:b/>
          <w:sz w:val="30"/>
        </w:rPr>
        <w:t>PRE.1 Record 4 — In-Patient Rights and Responsibilities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log confirming an admitted patient (or their family) was actually talked through their rights and responsibilities in person — not just shown a poster on the way to the ward.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03-Jan-2026, patient/uhid was “UHID 10234”, family member counselled was “Spouse”, format (verbal/booklet/av) was “Verbal + booklet”.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Many patients are anxious, in pain, or can't read well on admission — a poster alone doesn't reach them. NABH requires active, spoken counselling for in-patients specifically because a display board isn't enough on its own.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counselling happened.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Family Member Counselled: </w:t>
      </w:r>
      <w:r>
        <w:t>Who was actually counselled — the patient, a family member, or both.</w:t>
      </w:r>
    </w:p>
    <w:p>
      <w:pPr>
        <w:pStyle w:val="ListParagraph"/>
      </w:pPr>
      <w:r>
        <w:rPr>
          <w:b/>
        </w:rPr>
        <w:t xml:space="preserve">Format (verbal/booklet/AV): </w:t>
      </w:r>
      <w:r>
        <w:t>How it was delivered — verbally, with a booklet, etc.</w:t>
      </w:r>
    </w:p>
    <w:p>
      <w:pPr>
        <w:pStyle w:val="ListParagraph"/>
      </w:pPr>
      <w:r>
        <w:rPr>
          <w:b/>
        </w:rPr>
        <w:t xml:space="preserve">Language: </w:t>
      </w:r>
      <w:r>
        <w:t>Which language it was done in.</w:t>
      </w:r>
    </w:p>
    <w:p>
      <w:pPr>
        <w:pStyle w:val="ListParagraph"/>
      </w:pPr>
      <w:r>
        <w:rPr>
          <w:b/>
        </w:rPr>
        <w:t xml:space="preserve">Counselled By: </w:t>
      </w:r>
      <w:r>
        <w:t>Who did the counselling.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Family Member Counselled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Format (verbal/booklet/AV)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Counselled By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10234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Spouse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Verbal + booklet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Gujarati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Nurse — R. Patel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