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PRE.4.c — Ensuring consent content and language are adequate (CORE — non-negotiable)</w:t>
      </w:r>
    </w:p>
    <w:p>
      <w:r>
        <w:rPr>
          <w:b/>
          <w:sz w:val="30"/>
        </w:rPr>
        <w:t>PRE.4 Record 11 — Multi-Specialty Consent Form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For a procedure involving more than one specialty, confirmation that each specialty's lead doctor is named separately and each explained their own part.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20-Feb-2026, patient/uhid was “UHID 12300”, procedure was “Combined ENT-Neurosurgery procedure”, specialties involved was “ENT, Neurosurgery”.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One doctor can't validly consent on behalf of another specialty's risks and role — each has to be named and accountable for their own explanation.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Procedure: </w:t>
      </w:r>
      <w:r>
        <w:t>Procedure.</w:t>
      </w:r>
    </w:p>
    <w:p>
      <w:pPr>
        <w:pStyle w:val="ListParagraph"/>
      </w:pPr>
      <w:r>
        <w:rPr>
          <w:b/>
        </w:rPr>
        <w:t xml:space="preserve">Specialties Involved: </w:t>
      </w:r>
      <w:r>
        <w:t>Which specialties were involved.</w:t>
      </w:r>
    </w:p>
    <w:p>
      <w:pPr>
        <w:pStyle w:val="ListParagraph"/>
      </w:pPr>
      <w:r>
        <w:rPr>
          <w:b/>
        </w:rPr>
        <w:t xml:space="preserve">Principal Surgeon per Specialty: </w:t>
      </w:r>
      <w:r>
        <w:t>Which doctor was named as lead for each specialty.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Specialties Involved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Principal Surgeon per Specialty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12300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Combined ENT-Neurosurgery procedure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ENT, Neurosurgery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 (ENT), Dr. B (Neurosurgery)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