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PRE.5.i — Special educational needs</w:t>
      </w:r>
    </w:p>
    <w:p>
      <w:r>
        <w:rPr>
          <w:b/>
          <w:sz w:val="30"/>
        </w:rPr>
        <w:t>PRE.5 Record 14 — Special Educational Need Identification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in the chart flagging that a patient/family member has a specific need that affects how they should be educated — for example autism support needs, a physical disability, or speech/communication needs.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trainer or counsellor adds a new row right after a real session with real staff or a real patient actually takes place. The worked example below shows a real entry: on 13-Jan-2026, patient/uhid was “UHID 13100”, special need identified was “Speech and communication needs”, identified by was “Ward Nurse”.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need that's never identified can't be addressed — this is the first step that makes Record 15's adapted response possible.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Special Need Identified: </w:t>
      </w:r>
      <w:r>
        <w:t>What the special need is.</w:t>
      </w:r>
    </w:p>
    <w:p>
      <w:pPr>
        <w:pStyle w:val="ListParagraph"/>
      </w:pPr>
      <w:r>
        <w:rPr>
          <w:b/>
        </w:rPr>
        <w:t xml:space="preserve">Identified By: </w:t>
      </w:r>
      <w:r>
        <w:t>Who identified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Special Need Identified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Identified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13-Jan-2026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UHID 13100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Speech and communication needs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Ward Nurse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