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PRE.8.d — No unacceptable communication</w:t>
      </w:r>
    </w:p>
    <w:p>
      <w:r>
        <w:rPr>
          <w:b/>
          <w:sz w:val="30"/>
        </w:rPr>
        <w:t>PRE.8 Record 11 — Medical Superintendent's Action Record for Confirmed Breach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once a breach was confirmed (Record 10), the Medical Superintendent actually did something about it — not just noted it and moved 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15-Jan-2026, incident ref was “Log #10-2026” — so action taken was “Written counselling; refresher training assigned”.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confirmed breach with no consequence sends the message that the rule doesn't really matter — this record shows it does.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Incident Ref: </w:t>
      </w:r>
      <w:r>
        <w:t>Which incident this relates to.</w:t>
      </w:r>
    </w:p>
    <w:p>
      <w:pPr>
        <w:pStyle w:val="ListParagraph"/>
      </w:pPr>
      <w:r>
        <w:rPr>
          <w:b/>
        </w:rPr>
        <w:t xml:space="preserve">Action Taken: </w:t>
      </w:r>
      <w:r>
        <w:t>What action was actually taken.</w:t>
      </w:r>
    </w:p>
    <w:p>
      <w:pPr>
        <w:pStyle w:val="ListParagraph"/>
      </w:pPr>
      <w:r>
        <w:rPr>
          <w:b/>
        </w:rPr>
        <w:t xml:space="preserve">Date Closed: </w:t>
      </w:r>
      <w:r>
        <w:t>When it was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Incident Ref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Log #10-2026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Written counselling; refresher training assigned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