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Internal audit</w:t>
      </w:r>
    </w:p>
    <w:p>
      <w:r>
        <w:rPr>
          <w:b/>
          <w:sz w:val="30"/>
        </w:rPr>
        <w:t>PSQ.2 Record 21 — Internal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“Scheduled audit plan defining audit choice and frequency for priority areas and areas of concern.” — the specific evidence element Internal audit of this policy asks for. Every time this activity actually happens, whoever did it adds one new row below with: Area/Department, Reason on Priority List (choice/frequency basis), Scheduled Frequency, Scheduled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and the trained internal auditor use this record whenever an internal audit of an area is scheduled, carried out, reported on, or its corrective actions are verified. The worked example below shows a real entry: on 15-Mar-2026, area/department was “Pharmacy”, reason on priority list (choice/frequency basis) was “High-risk area — medication errors flagged in incident log”, scheduled frequency was “Every 6 months”.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Self-policing only works if it's actually independent and complete — this record proves every area was really audited at least every six months, by someone trained in NABH standards who doesn't work in that area, against every applicable standard, with findings that led to real corrective action that was later verified as actually implemented. NABH checks this as part of how a genuine patient-safety and quality programme actually runs.</w:t>
            </w:r>
          </w:p>
        </w:tc>
      </w:tr>
    </w:tbl>
    <w:p/>
    <w:p>
      <w:r>
        <w:rPr>
          <w:b/>
          <w:sz w:val="22"/>
        </w:rPr>
        <w:t>How to fill this in — column by column</w:t>
      </w:r>
    </w:p>
    <w:p>
      <w:pPr>
        <w:pStyle w:val="ListParagraph"/>
      </w:pPr>
      <w:r>
        <w:rPr>
          <w:b/>
        </w:rPr>
        <w:t xml:space="preserve">Area/Department: </w:t>
      </w:r>
      <w:r>
        <w:t>The specific area or department scheduled for audit.</w:t>
      </w:r>
    </w:p>
    <w:p>
      <w:pPr>
        <w:pStyle w:val="ListParagraph"/>
      </w:pPr>
      <w:r>
        <w:rPr>
          <w:b/>
        </w:rPr>
        <w:t xml:space="preserve">Reason on Priority List (choice/frequency basis): </w:t>
      </w:r>
      <w:r>
        <w:t>Why it's on the schedule — a real reason (risk, prior finding, area of concern), not just rotation.</w:t>
      </w:r>
    </w:p>
    <w:p>
      <w:pPr>
        <w:pStyle w:val="ListParagraph"/>
      </w:pPr>
      <w:r>
        <w:rPr>
          <w:b/>
        </w:rPr>
        <w:t xml:space="preserve">Scheduled Frequency: </w:t>
      </w:r>
      <w:r>
        <w:t>How often it's audited — must meet the hospital-wide 6-monthly minimum.</w:t>
      </w:r>
    </w:p>
    <w:p>
      <w:pPr>
        <w:pStyle w:val="ListParagraph"/>
      </w:pPr>
      <w:r>
        <w:rPr>
          <w:b/>
        </w:rPr>
        <w:t xml:space="preserve">Scheduled Date: </w:t>
      </w:r>
      <w:r>
        <w:t>The actual scheduled date.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Area/Department</w:t>
            </w:r>
          </w:p>
        </w:tc>
        <w:tc>
          <w:tcPr>
            <w:tcW w:type="dxa" w:w="2420"/>
            <w:shd w:val="clear" w:fill="D9E2F3"/>
          </w:tcPr>
          <w:p>
            <w:r/>
            <w:r>
              <w:rPr>
                <w:b/>
                <w:sz w:val="20"/>
              </w:rPr>
              <w:t>Reason on Priority List (choice/frequency basis)</w:t>
            </w:r>
          </w:p>
        </w:tc>
        <w:tc>
          <w:tcPr>
            <w:tcW w:type="dxa" w:w="2420"/>
            <w:shd w:val="clear" w:fill="D9E2F3"/>
          </w:tcPr>
          <w:p>
            <w:r/>
            <w:r>
              <w:rPr>
                <w:b/>
                <w:sz w:val="20"/>
              </w:rPr>
              <w:t>Scheduled Frequency</w:t>
            </w:r>
          </w:p>
        </w:tc>
        <w:tc>
          <w:tcPr>
            <w:tcW w:type="dxa" w:w="2420"/>
            <w:shd w:val="clear" w:fill="D9E2F3"/>
          </w:tcPr>
          <w:p>
            <w:r/>
            <w:r>
              <w:rPr>
                <w:b/>
                <w:sz w:val="20"/>
              </w:rPr>
              <w:t>Scheduled 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Pharmacy</w:t>
            </w:r>
          </w:p>
        </w:tc>
        <w:tc>
          <w:tcPr>
            <w:tcW w:type="dxa" w:w="2420"/>
            <w:shd w:val="clear" w:fill="FFF2CC"/>
          </w:tcPr>
          <w:p>
            <w:r/>
            <w:r>
              <w:rPr>
                <w:b w:val="0"/>
                <w:sz w:val="20"/>
              </w:rPr>
              <w:t>High-risk area — medication errors flagged in incident log</w:t>
            </w:r>
          </w:p>
        </w:tc>
        <w:tc>
          <w:tcPr>
            <w:tcW w:type="dxa" w:w="2420"/>
            <w:shd w:val="clear" w:fill="FFF2CC"/>
          </w:tcPr>
          <w:p>
            <w:r/>
            <w:r>
              <w:rPr>
                <w:b w:val="0"/>
                <w:sz w:val="20"/>
              </w:rPr>
              <w:t>Every 6 months</w:t>
            </w:r>
          </w:p>
        </w:tc>
        <w:tc>
          <w:tcPr>
            <w:tcW w:type="dxa" w:w="2420"/>
            <w:shd w:val="clear" w:fill="FFF2CC"/>
          </w:tcPr>
          <w:p>
            <w:r/>
            <w:r>
              <w:rPr>
                <w:b w:val="0"/>
                <w:sz w:val="20"/>
              </w:rPr>
              <w:t>15-Mar-2026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