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Improvement Programme</w:t>
      </w:r>
    </w:p>
    <w:p>
      <w:r>
        <w:t>«Hospital Name» — Supports PSQ.2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framework for developing, implementing, maintaining, reviewing and updating the quality improvement programme. This policy does not cover matters outside the quality improvement programme.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framework for developing, implementing, maintaining, reviewing and updating the quality improvement programme. This policy does not cover matters outside the quality improvement programme.</w:t>
      </w:r>
    </w:p>
    <w:p>
      <w:pPr>
        <w:pStyle w:val="Heading1"/>
      </w:pPr>
      <w:r>
        <w:t>2. Scope</w:t>
      </w:r>
    </w:p>
    <w:p>
      <w:r>
        <w:t>This policy applies across «Hospital Name» to the quality improvement programme and its related activities. It covers management, clinical and support departments, the quality improvement committee, the designated individual, quality improvement champions, doctors, nurses and staff involved in audits and quality improvement activities.</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CAPA: </w:t>
      </w:r>
      <w:r>
        <w:t>Corrective and Preventive Action — what fixed it now, and what stops it happening again.</w:t>
      </w:r>
    </w:p>
    <w:p>
      <w:pPr>
        <w:pStyle w:val="ListParagraph"/>
      </w:pPr>
      <w:r>
        <w:rPr>
          <w:b/>
        </w:rPr>
        <w:t xml:space="preserve">PDSA: </w:t>
      </w:r>
      <w:r>
        <w:t>Plan-Do-Study-Act — a simple cycle for testing a change before rolling it out everywhere.</w:t>
      </w:r>
    </w:p>
    <w:p>
      <w:pPr>
        <w:pStyle w:val="ListParagraph"/>
      </w:pPr>
      <w:r>
        <w:rPr>
          <w:b/>
        </w:rPr>
        <w:t xml:space="preserve">Clinical Audit: </w:t>
      </w:r>
      <w:r>
        <w:t>A planned, structured check of whether actual care matched an agreed standard.</w:t>
      </w:r>
    </w:p>
    <w:p>
      <w:pPr>
        <w:pStyle w:val="ListParagraph"/>
      </w:pPr>
      <w:r>
        <w:rPr>
          <w:b/>
        </w:rPr>
        <w:t xml:space="preserve">Control Chart: </w:t>
      </w:r>
      <w:r>
        <w:t>A running line-graph of an indicator over time with upper and lower control limits marked, used to tell a real, meaningful change from ordinary day-to-day variation.</w:t>
      </w:r>
    </w:p>
    <w:p>
      <w:pPr>
        <w:pStyle w:val="ListParagraph"/>
      </w:pPr>
      <w:r>
        <w:rPr>
          <w:b/>
        </w:rPr>
        <w:t xml:space="preserve">DMAIC: </w:t>
      </w:r>
      <w:r>
        <w:t>Define–Measure–Analyze–Improve–Control — a structured Six Sigma method for fixing a bigger, data-heavy process problem, more rigorous than a single PDSA cycle.</w:t>
      </w:r>
    </w:p>
    <w:p>
      <w:pPr>
        <w:pStyle w:val="Heading1"/>
      </w:pPr>
      <w:r>
        <w:t>5. Procedure</w:t>
      </w:r>
    </w:p>
    <w:p>
      <w:pPr>
        <w:pStyle w:val="Heading2"/>
      </w:pPr>
      <w:r>
        <w:t>5.1 Maintain the multidisciplinary committee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Constitute the Quality Improvement Committee with a written Terms of Reference — composition, meeting frequency, quorum — the same discipline as the IPC Committee.</w:t>
      </w:r>
    </w:p>
    <w:p>
      <w:r>
        <w:t>2. Meet at least monthly and keep written minutes naming decisions, owners and due dates.</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5.2 Maintain the Quality Improvement Manual</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Write one master Quality Improvement Manual covering the programme's structure, methodology choices, and every QI process the hospital runs.</w:t>
      </w:r>
    </w:p>
    <w:p>
      <w:r>
        <w:t>2. Version-control it (version number, date, approver) and review it at least annually.</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5.3 Promote process improvement</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improvement work as PDSA cycles: Plan (state the objective, predict the outcome, design a small-scale test — who, what, when, where, what data), Do (run the test exactly as planned, note the unexpected), Study (compare actual result to the prediction), Act (adopt, adapt, or abandon, then run the next cycle).</w:t>
      </w:r>
    </w:p>
    <w:p>
      <w:r>
        <w:t>2. For a larger, data-heavy process problem, use Six Sigma DMAIC instead: Define the problem/scope, Measure baseline performance, Analyze the data for root causes, Improve by testing and implementing a fix, Control by standardising the new process and monitoring it with a control chart.</w:t>
      </w:r>
    </w:p>
    <w:p>
      <w:r>
        <w:rPr>
          <w:b/>
          <w:i/>
          <w:sz w:val="18"/>
        </w:rPr>
        <w:t xml:space="preserve">Technical source(s) for these steps: </w:t>
      </w:r>
    </w:p>
    <w:p>
      <w:pPr>
        <w:pStyle w:val="ListParagraph"/>
      </w:pPr>
      <w:hyperlink r:id="rId9">
        <w:r>
          <w:rPr>
            <w:color w:val="0563C1"/>
            <w:u w:val="single"/>
          </w:rPr>
          <w:t>Institute for Healthcare Improvement, as summarized by Minnesota Department of Health. (n.d.). Plan-Do-Study-Act (PDSA).</w:t>
        </w:r>
      </w:hyperlink>
    </w:p>
    <w:p>
      <w:pPr>
        <w:pStyle w:val="Heading2"/>
      </w:pPr>
      <w:r>
        <w:t>5.4 Review appropriateness of clinical care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Select clinical-care review topics the same way a clinical audit topic is selected — high-risk, high-volume, or problem-prone — and compare actual practice against an explicit, evidence-based standard.</w:t>
      </w:r>
    </w:p>
    <w:p>
      <w:r>
        <w:t>2. Feed findings into the same CAPA/action-plan mechanism used for audit findings (see PSQ.5.5.6), rather than a separate untracked process.</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Heading2"/>
      </w:pPr>
      <w:r>
        <w:t>5.5 Coordinate the programme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Give the Quality Coordinator explicit responsibility for coordinating every QI activity across departments, so initiatives don't run in silos unaware of each other.</w:t>
      </w:r>
    </w:p>
    <w:p>
      <w:r>
        <w:t>2. Maintain one master list of active QI projects/audits with owner and status, reviewed at every committee meeting.</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5.6 Review the programme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Review programme performance at every monthly committee meeting using the standing indicator dashboard, not only at the annual review.</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5.7 Review and update annually</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Formally review the whole QI programme at least once a year against incident trends, audit findings, and indicator performance, and document the outcome — including an explicit nil finding if nothing needs to change.</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PSQ.2.</w:t>
      </w:r>
    </w:p>
    <w:p>
      <w:pPr>
        <w:pStyle w:val="Heading2"/>
      </w:pPr>
      <w:r>
        <w:t>5.8 Conduct internal audits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the internal audit through the same four-stage clinical audit cycle used for clinical topics: set the criteria/standard, measure current practice against it, implement change, and re-audit to close the loop.</w:t>
      </w:r>
    </w:p>
    <w:p>
      <w:r>
        <w:t>2. Schedule internal audits on a rolling programme so every relevant area is covered over a defined cycle, not just once.</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Heading2"/>
      </w:pPr>
      <w:r>
        <w:t>5.9 Monitor and improve nursing care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Track nursing-specific process and outcome indicators (e.g. fall rate, pressure-injury rate, medication-administration accuracy) the same way any other quality indicator is tracked — control chart, defined numerator/denominator.</w:t>
      </w:r>
    </w:p>
    <w:p>
      <w:r>
        <w:t>2. Feed nursing-indicator results back to ward level, not only to a central nursing office, and run a PDSA cycle on any indicator trending the wrong way.</w:t>
      </w:r>
    </w:p>
    <w:p>
      <w:r>
        <w:rPr>
          <w:b/>
          <w:i/>
          <w:sz w:val="18"/>
        </w:rPr>
        <w:t xml:space="preserve">Technical source(s) for these steps: </w:t>
      </w:r>
    </w:p>
    <w:p>
      <w:pPr>
        <w:pStyle w:val="ListParagraph"/>
      </w:pPr>
      <w:hyperlink r:id="rId11">
        <w:r>
          <w:rPr>
            <w:color w:val="0563C1"/>
            <w:u w:val="single"/>
          </w:rPr>
          <w:t>CASRAI. (n.d.). Donabedian model: Structure, process, outcome.</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 multidisciplinary committee developing, implementing and maintaining the quality improvement programme is CORE non-compliance. The absence of this required committee is a stop-work trigger under this policy and shall be escalated for correction before normal compliance status is treated as restored. Absence of an established process to monitor and improve nursing care quality is CORE non-compliance. The absence of this established nursing-care quality process is a stop-work trigger under this policy and shall be escalated for correction before normal compliance status is treated as restored.</w:t>
      </w:r>
    </w:p>
    <w:p>
      <w:pPr>
        <w:pStyle w:val="Heading1"/>
      </w:pPr>
      <w:r>
        <w:t>7. Records</w:t>
      </w:r>
    </w:p>
    <w:p>
      <w:r>
        <w:t>This SOP produces and maintains Records 1 through 31 (see the PSQ.2 Records folder).</w:t>
      </w:r>
    </w:p>
    <w:p>
      <w:pPr>
        <w:pStyle w:val="Heading1"/>
      </w:pPr>
      <w:r>
        <w:t>8. Related Documents</w:t>
      </w:r>
    </w:p>
    <w:p>
      <w:pPr>
        <w:pStyle w:val="ListParagraph"/>
      </w:pPr>
      <w:r>
        <w:t>Policy on Quality Improvement Programme (HCO/PSQ/POL/02) — this policy</w:t>
      </w:r>
    </w:p>
    <w:p>
      <w:pPr>
        <w:pStyle w:val="ListParagraph"/>
      </w:pPr>
      <w:r>
        <w:t>Required Records — PSQ.2 (see PSQ.2 Records folder)</w:t>
      </w:r>
    </w:p>
    <w:p>
      <w:pPr>
        <w:pStyle w:val="Heading1"/>
      </w:pPr>
      <w:r>
        <w:t>9. Where This SOP's Requirements Come From (Verified Sources)</w:t>
      </w:r>
    </w:p>
    <w:p>
      <w:pPr>
        <w:pStyle w:val="ListParagraph"/>
      </w:pPr>
      <w:r>
        <w:rPr>
          <w:i/>
        </w:rPr>
        <w:t>NABH — Accreditation Standards for Hospitals, 6th Edition, PSQ.2 — named source, no working link could be verified from here; check directly.</w:t>
      </w:r>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ealth.state.mn.us/communities/practice/resources/phqitoolbox/pdsa.html" TargetMode="External"/><Relationship Id="rId10" Type="http://schemas.openxmlformats.org/officeDocument/2006/relationships/hyperlink" Target="https://hqip.org.uk/wp-content/uploads/2015/01/FINAL-A-Guide-for-NHS-Boards-and-Partners-Jan-21-V5.pdf" TargetMode="External"/><Relationship Id="rId11" Type="http://schemas.openxmlformats.org/officeDocument/2006/relationships/hyperlink" Target="https://casrai.org/guides/donabedian-model-structure-process-outc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