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PSQ.3 — Managerial indicators</w:t>
      </w:r>
    </w:p>
    <w:p>
      <w:r>
        <w:rPr>
          <w:b/>
          <w:sz w:val="30"/>
        </w:rPr>
        <w:t>PSQ.3 Record 12 — Managerial indicators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A quality indicator is simply a number the hospital tracks on purpose, over time, to see whether a specific part of patient care is getting better or worse — for example, infection rate, or how long patients wait. This record is where you keep the proof for: “For each managerial indicator, a defined numerator, denominator and multiplier.” — the specific evidence element Managerial indicators of this policy asks for. Every time this activity actually happens, whoever did it adds one new row below with: Indicator Name, Numerator, Denominator, Multiplier, Owner, Data Source, Frequency, Mandatory (Govt/State/NABH), Data Period, Result, Target/Benchmark, Trend (Up/Down/Stable).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quality team uses this record every reporting period to log a managerial indicator's monitoring result. The worked example below shows a real entry: on Jan-2026, indicator name was “Average patient waiting time for OPD consultation”, numerator was “Sum of waiting times (minutes) across sampled OPD consultations”, denominator was “Number of OPD consultations sampled” — so result was “26 minutes”.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hospital can be clinically excellent and still fail patients through poor logistics — this record proves managerial indicators (medication procurement, wait times, satisfaction, record availability) are actually being tracked with a defined numerator, denominator and multiplier, not left to impression. NABH checks this as part of how a genuine patient-safety and quality programme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Indicator Name: </w:t>
      </w:r>
      <w:r>
        <w:t>The exact indicator being tracked — name it precisely, don't write 'quality' generically.</w:t>
      </w:r>
    </w:p>
    <w:p>
      <w:pPr>
        <w:pStyle w:val="ListParagraph"/>
      </w:pPr>
      <w:r>
        <w:rPr>
          <w:b/>
        </w:rPr>
        <w:t xml:space="preserve">Numerator: </w:t>
      </w:r>
      <w:r>
        <w:t>What actually gets counted in the numerator — spell it out, not just the indicator name again.</w:t>
      </w:r>
    </w:p>
    <w:p>
      <w:pPr>
        <w:pStyle w:val="ListParagraph"/>
      </w:pPr>
      <w:r>
        <w:rPr>
          <w:b/>
        </w:rPr>
        <w:t xml:space="preserve">Denominator: </w:t>
      </w:r>
      <w:r>
        <w:t>What actually gets counted in the denominator.</w:t>
      </w:r>
    </w:p>
    <w:p>
      <w:pPr>
        <w:pStyle w:val="ListParagraph"/>
      </w:pPr>
      <w:r>
        <w:rPr>
          <w:b/>
        </w:rPr>
        <w:t xml:space="preserve">Multiplier: </w:t>
      </w:r>
      <w:r>
        <w:t>The multiplier applied (× 100, × 1000, or 'average' if it's a mean) — without this the rate can't be reproduced from raw counts.</w:t>
      </w:r>
    </w:p>
    <w:p>
      <w:pPr>
        <w:pStyle w:val="ListParagraph"/>
      </w:pPr>
      <w:r>
        <w:rPr>
          <w:b/>
        </w:rPr>
        <w:t xml:space="preserve">Owner: </w:t>
      </w:r>
      <w:r>
        <w:t>Who is accountable for this indicator being tracked and reported.</w:t>
      </w:r>
    </w:p>
    <w:p>
      <w:pPr>
        <w:pStyle w:val="ListParagraph"/>
      </w:pPr>
      <w:r>
        <w:rPr>
          <w:b/>
        </w:rPr>
        <w:t xml:space="preserve">Data Source: </w:t>
      </w:r>
      <w:r>
        <w:t>Where the raw data actually comes from — the real register or system, not 'records.'</w:t>
      </w:r>
    </w:p>
    <w:p>
      <w:pPr>
        <w:pStyle w:val="ListParagraph"/>
      </w:pPr>
      <w:r>
        <w:rPr>
          <w:b/>
        </w:rPr>
        <w:t xml:space="preserve">Frequency: </w:t>
      </w:r>
      <w:r>
        <w:t>How often this is actually measured and reported.</w:t>
      </w:r>
    </w:p>
    <w:p>
      <w:pPr>
        <w:pStyle w:val="ListParagraph"/>
      </w:pPr>
      <w:r>
        <w:rPr>
          <w:b/>
        </w:rPr>
        <w:t xml:space="preserve">Mandatory (Govt/State/NABH): </w:t>
      </w:r>
      <w:r>
        <w:t>Whether this is a Government/State/NABH-mandated indicator, or one the organisation chose itself.</w:t>
      </w:r>
    </w:p>
    <w:p>
      <w:pPr>
        <w:pStyle w:val="ListParagraph"/>
      </w:pPr>
      <w:r>
        <w:rPr>
          <w:b/>
        </w:rPr>
        <w:t xml:space="preserve">Data Period: </w:t>
      </w:r>
      <w:r>
        <w:t>The time period this data covers.</w:t>
      </w:r>
    </w:p>
    <w:p>
      <w:pPr>
        <w:pStyle w:val="ListParagraph"/>
      </w:pPr>
      <w:r>
        <w:rPr>
          <w:b/>
        </w:rPr>
        <w:t xml:space="preserve">Result: </w:t>
      </w:r>
      <w:r>
        <w:t>The actual number/rate for that period.</w:t>
      </w:r>
    </w:p>
    <w:p>
      <w:pPr>
        <w:pStyle w:val="ListParagraph"/>
      </w:pPr>
      <w:r>
        <w:rPr>
          <w:b/>
        </w:rPr>
        <w:t xml:space="preserve">Target/Benchmark: </w:t>
      </w:r>
      <w:r>
        <w:t>What target or benchmark this is being measured against.</w:t>
      </w:r>
    </w:p>
    <w:p>
      <w:pPr>
        <w:pStyle w:val="ListParagraph"/>
      </w:pPr>
      <w:r>
        <w:rPr>
          <w:b/>
        </w:rPr>
        <w:t xml:space="preserve">Trend (Up/Down/Stable): </w:t>
      </w:r>
      <w:r>
        <w:t>Whether it's improving, worsening, or holding steady compared to the last period.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807"/>
        <w:gridCol w:w="807"/>
        <w:gridCol w:w="807"/>
        <w:gridCol w:w="807"/>
        <w:gridCol w:w="807"/>
        <w:gridCol w:w="807"/>
        <w:gridCol w:w="807"/>
        <w:gridCol w:w="807"/>
        <w:gridCol w:w="807"/>
        <w:gridCol w:w="807"/>
        <w:gridCol w:w="807"/>
        <w:gridCol w:w="807"/>
      </w:tblGrid>
      <w:tr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Indicator Name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Numerator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Denominator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Multiplier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Owner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Data Source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Frequency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Mandatory (Govt/State/NABH)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Data Period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Result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Target/Benchmark</w:t>
            </w:r>
          </w:p>
        </w:tc>
        <w:tc>
          <w:tcPr>
            <w:tcW w:type="dxa" w:w="807"/>
            <w:shd w:val="clear" w:fill="D9E2F3"/>
          </w:tcPr>
          <w:p>
            <w:r/>
            <w:r>
              <w:rPr>
                <w:b/>
                <w:sz w:val="20"/>
              </w:rPr>
              <w:t>Trend (Up/Down/Stable)</w:t>
            </w:r>
          </w:p>
        </w:tc>
      </w:tr>
      <w:tr>
        <w:tc>
          <w:tcPr>
            <w:tcW w:type="dxa" w:w="9684"/>
            <w:gridSpan w:val="12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Average patient waiting time for OPD consultation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Sum of waiting times (minutes) across sampled OPD consultations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Number of OPD consultations sampled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÷ count (average)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Quality Coordinator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OPD registration/token log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Monthly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N — organisation-selected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Jan-2026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26 minutes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≤30 minutes</w:t>
            </w:r>
          </w:p>
        </w:tc>
        <w:tc>
          <w:tcPr>
            <w:tcW w:type="dxa" w:w="807"/>
            <w:shd w:val="clear" w:fill="FFF2CC"/>
          </w:tcPr>
          <w:p>
            <w:r/>
            <w:r>
              <w:rPr>
                <w:b w:val="0"/>
                <w:sz w:val="20"/>
              </w:rPr>
              <w:t>Improving vs. last quarter</w:t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80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