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PSQ.5 — Audit parameters</w:t>
      </w:r>
    </w:p>
    <w:p>
      <w:r>
        <w:rPr>
          <w:b/>
          <w:sz w:val="30"/>
        </w:rPr>
        <w:t>PSQ.5 Record 5 — Audit parameters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“Sampling and data-collection guidelines.” — the specific evidence element Audit parameters of this policy asks for. Every time this activity actually happens, whoever did it adds one new row below with: Audit Objective, Standard/Benchmark Used, Sample Size/Method, Includes Nursing Care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audit team uses this record when defining the objectives, standards, checklist and sampling approach for a specific clinical audit. The worked example below shows a real entry: audit objective was “Assess compliance with post-op wound care protocol”, standard/benchmark used was “Hospital wound-care SOP”, sample size/method was “20 consecutive cases, random”.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audit with no defined standard to measure against isn't an audit, it's an opinion — this record proves the objectives, standards, checklist, and sampling method were actually written down before the audit started, and that both clinical and nursing care were genuinely included. NABH checks this as part of how a genuine patient-safety and quality programme actually runs.</w:t>
            </w:r>
          </w:p>
        </w:tc>
      </w:tr>
    </w:tbl>
    <w:p/>
    <w:p>
      <w:r>
        <w:rPr>
          <w:b/>
          <w:sz w:val="22"/>
        </w:rPr>
        <w:t>How to fill this in — column by column</w:t>
      </w:r>
    </w:p>
    <w:p>
      <w:pPr>
        <w:pStyle w:val="ListParagraph"/>
      </w:pPr>
      <w:r>
        <w:rPr>
          <w:b/>
        </w:rPr>
        <w:t xml:space="preserve">Audit Objective: </w:t>
      </w:r>
      <w:r>
        <w:t>What the audit is trying to find out, in plain words.</w:t>
      </w:r>
    </w:p>
    <w:p>
      <w:pPr>
        <w:pStyle w:val="ListParagraph"/>
      </w:pPr>
      <w:r>
        <w:rPr>
          <w:b/>
        </w:rPr>
        <w:t xml:space="preserve">Standard/Benchmark Used: </w:t>
      </w:r>
      <w:r>
        <w:t>What standard the actual practice is being compared against.</w:t>
      </w:r>
    </w:p>
    <w:p>
      <w:pPr>
        <w:pStyle w:val="ListParagraph"/>
      </w:pPr>
      <w:r>
        <w:rPr>
          <w:b/>
        </w:rPr>
        <w:t xml:space="preserve">Sample Size/Method: </w:t>
      </w:r>
      <w:r>
        <w:t>How many cases/records were checked and how they were picked.</w:t>
      </w:r>
    </w:p>
    <w:p>
      <w:pPr>
        <w:pStyle w:val="ListParagraph"/>
      </w:pPr>
      <w:r>
        <w:rPr>
          <w:b/>
        </w:rPr>
        <w:t xml:space="preserve">Includes Nursing Care (Y/N): </w:t>
      </w:r>
      <w:r>
        <w:t>Whether nursing care was included in scope — write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Audit Objective</w:t>
            </w:r>
          </w:p>
        </w:tc>
        <w:tc>
          <w:tcPr>
            <w:tcW w:type="dxa" w:w="2420"/>
            <w:shd w:val="clear" w:fill="D9E2F3"/>
          </w:tcPr>
          <w:p>
            <w:r/>
            <w:r>
              <w:rPr>
                <w:b/>
                <w:sz w:val="20"/>
              </w:rPr>
              <w:t>Standard/Benchmark Used</w:t>
            </w:r>
          </w:p>
        </w:tc>
        <w:tc>
          <w:tcPr>
            <w:tcW w:type="dxa" w:w="2420"/>
            <w:shd w:val="clear" w:fill="D9E2F3"/>
          </w:tcPr>
          <w:p>
            <w:r/>
            <w:r>
              <w:rPr>
                <w:b/>
                <w:sz w:val="20"/>
              </w:rPr>
              <w:t>Sample Size/Method</w:t>
            </w:r>
          </w:p>
        </w:tc>
        <w:tc>
          <w:tcPr>
            <w:tcW w:type="dxa" w:w="2420"/>
            <w:shd w:val="clear" w:fill="D9E2F3"/>
          </w:tcPr>
          <w:p>
            <w:r/>
            <w:r>
              <w:rPr>
                <w:b/>
                <w:sz w:val="20"/>
              </w:rPr>
              <w:t>Includes Nursing Care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Assess compliance with post-op wound care protocol</w:t>
            </w:r>
          </w:p>
        </w:tc>
        <w:tc>
          <w:tcPr>
            <w:tcW w:type="dxa" w:w="2420"/>
            <w:shd w:val="clear" w:fill="FFF2CC"/>
          </w:tcPr>
          <w:p>
            <w:r/>
            <w:r>
              <w:rPr>
                <w:b w:val="0"/>
                <w:sz w:val="20"/>
              </w:rPr>
              <w:t>Hospital wound-care SOP</w:t>
            </w:r>
          </w:p>
        </w:tc>
        <w:tc>
          <w:tcPr>
            <w:tcW w:type="dxa" w:w="2420"/>
            <w:shd w:val="clear" w:fill="FFF2CC"/>
          </w:tcPr>
          <w:p>
            <w:r/>
            <w:r>
              <w:rPr>
                <w:b w:val="0"/>
                <w:sz w:val="20"/>
              </w:rPr>
              <w:t>20 consecutive cases, random</w:t>
            </w:r>
          </w:p>
        </w:tc>
        <w:tc>
          <w:tcPr>
            <w:tcW w:type="dxa" w:w="2420"/>
            <w:shd w:val="clear" w:fill="FFF2CC"/>
          </w:tcPr>
          <w:p>
            <w:r/>
            <w:r>
              <w:rPr>
                <w:b w:val="0"/>
                <w:sz w:val="20"/>
              </w:rPr>
              <w:t>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