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PSQ.7 — Incident management and reporting</w:t>
      </w:r>
    </w:p>
    <w:p>
      <w:r>
        <w:rPr>
          <w:b/>
          <w:sz w:val="30"/>
        </w:rPr>
        <w:t>PSQ.7 Record 1 — Incident management and reporting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“Implemented incident management process covering identification, reporting, review and action on incidents.” — the specific evidence element Incident management and reporting of this policy asks for. Every time this activity actually happens, whoever did it adds one new row below with: Element of Process, How It's Handled, Date Defined/Reviewed.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Any staff member uses this record the moment they identify or report a patient-safety incident, whatever its severity. The worked example below shows a real entry: on 01-Jan-2026, element of process was “Reporting form”, how it's handled was “Standardised incident report form, all staff can submit”.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An incident process that only catches the serious cases misses the near-misses that predict them — this record proves every incident, whatever its severity, is actually captured through a standardised process built for honest, blame-free reporting.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Element of Process: </w:t>
      </w:r>
      <w:r>
        <w:t>Which part of the incident-management process this row documents — identification, reporting, review, or action.</w:t>
      </w:r>
    </w:p>
    <w:p>
      <w:pPr>
        <w:pStyle w:val="ListParagraph"/>
      </w:pPr>
      <w:r>
        <w:rPr>
          <w:b/>
        </w:rPr>
        <w:t xml:space="preserve">How It's Handled: </w:t>
      </w:r>
      <w:r>
        <w:t>What was actually put in place for it.</w:t>
      </w:r>
    </w:p>
    <w:p>
      <w:pPr>
        <w:pStyle w:val="ListParagraph"/>
      </w:pPr>
      <w:r>
        <w:rPr>
          <w:b/>
        </w:rPr>
        <w:t xml:space="preserve">Date Defined/Reviewed: </w:t>
      </w:r>
      <w:r>
        <w:t>The date this element was set up or last reviewed.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Element of Process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How It's Handled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 Defined/Reviewed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Reporting form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Standardised incident report form, all staff can submit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r>
        <w:rPr>
          <w:i/>
        </w:rPr>
        <w:t>NABH — Accreditation Standards for Hospitals, 6th Edition, PSQ.7 — named source, no working link could be verified from here; check directly.</w:t>
      </w:r>
    </w:p>
    <w:p>
      <w:pPr>
        <w:pStyle w:val="ListParagraph"/>
      </w:pPr>
      <w:r>
        <w:rPr>
          <w:i/>
        </w:rPr>
        <w:t>NABH — Guidebook to Accreditation Standards for Hospitals, 6th Edition, Glossary of Terms (definitions of safety programme, no-harm, sentinel events) — named source, no working link could be verified from here; check directly.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World Health Organization — Patient Safety Solutions</w:t>
        </w:r>
      </w:hyperlink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ho.int/teams/integrated-health-services/patient-safety/research/patient-safety-sol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