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PSQ.7 — Incident analysis and response</w:t>
      </w:r>
    </w:p>
    <w:p>
      <w:r>
        <w:rPr>
          <w:b/>
          <w:sz w:val="30"/>
        </w:rPr>
        <w:t>PSQ.7 Record 16 — Incident analysis and response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“Patient and other stakeholder participation in analysis where this has been used.” — the specific evidence element Incident analysis and response of this policy asks for. Every time this activity actually happens, whoever did it adds one new row below with: Incident Reference, Stakeholder Involved, Role in Analysis,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safety committee uses this record whenever it analyses a reported incident — including giving immediate care to those affected, and meeting the strict sentinel-event timelines. The worked example below shows a real entry: on 14-Feb-2026, incident reference was “12-Feb-2026 near-miss log entry”, stakeholder involved was “Patient's family member”, role in analysis was “Gave account of what they observed; reviewed draft timeline for accuracy”.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 incident that's reported but never properly analysed teaches the hospital nothing — this record proves the safety committee actually took responsibility for analysis, gave immediate care to whoever was affected without waiting for the analysis to finish, met the strict timelines for sentinel events (correction started within 24 hours, analysis completed within 7 working days), and — where used — ran a real root-cause analysis with input from the units involved and, where relevant, the patient or family. NABH checks this as part of how a genuine patient-safety and quality programme actually runs.</w:t>
            </w:r>
          </w:p>
        </w:tc>
      </w:tr>
    </w:tbl>
    <w:p/>
    <w:p>
      <w:r>
        <w:rPr>
          <w:b/>
          <w:sz w:val="22"/>
        </w:rPr>
        <w:t>How to fill this in — column by column</w:t>
      </w:r>
    </w:p>
    <w:p>
      <w:pPr>
        <w:pStyle w:val="ListParagraph"/>
      </w:pPr>
      <w:r>
        <w:rPr>
          <w:b/>
        </w:rPr>
        <w:t xml:space="preserve">Incident Reference: </w:t>
      </w:r>
      <w:r>
        <w:t>Which incident this refers to.</w:t>
      </w:r>
    </w:p>
    <w:p>
      <w:pPr>
        <w:pStyle w:val="ListParagraph"/>
      </w:pPr>
      <w:r>
        <w:rPr>
          <w:b/>
        </w:rPr>
        <w:t xml:space="preserve">Stakeholder Involved: </w:t>
      </w:r>
      <w:r>
        <w:t>Who was actually involved — the patient, family, or another concerned party.</w:t>
      </w:r>
    </w:p>
    <w:p>
      <w:pPr>
        <w:pStyle w:val="ListParagraph"/>
      </w:pPr>
      <w:r>
        <w:rPr>
          <w:b/>
        </w:rPr>
        <w:t xml:space="preserve">Role in Analysis: </w:t>
      </w:r>
      <w:r>
        <w:t>What they actually contributed to the analysis.</w:t>
      </w:r>
    </w:p>
    <w:p>
      <w:pPr>
        <w:pStyle w:val="ListParagraph"/>
      </w:pPr>
      <w:r>
        <w:rPr>
          <w:b/>
        </w:rPr>
        <w:t xml:space="preserve">Date: </w:t>
      </w:r>
      <w:r>
        <w:t>The date of their involvement.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Incident Reference</w:t>
            </w:r>
          </w:p>
        </w:tc>
        <w:tc>
          <w:tcPr>
            <w:tcW w:type="dxa" w:w="2420"/>
            <w:shd w:val="clear" w:fill="D9E2F3"/>
          </w:tcPr>
          <w:p>
            <w:r/>
            <w:r>
              <w:rPr>
                <w:b/>
                <w:sz w:val="20"/>
              </w:rPr>
              <w:t>Stakeholder Involved</w:t>
            </w:r>
          </w:p>
        </w:tc>
        <w:tc>
          <w:tcPr>
            <w:tcW w:type="dxa" w:w="2420"/>
            <w:shd w:val="clear" w:fill="D9E2F3"/>
          </w:tcPr>
          <w:p>
            <w:r/>
            <w:r>
              <w:rPr>
                <w:b/>
                <w:sz w:val="20"/>
              </w:rPr>
              <w:t>Role in Analysis</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12-Feb-2026 near-miss log entry</w:t>
            </w:r>
          </w:p>
        </w:tc>
        <w:tc>
          <w:tcPr>
            <w:tcW w:type="dxa" w:w="2420"/>
            <w:shd w:val="clear" w:fill="FFF2CC"/>
          </w:tcPr>
          <w:p>
            <w:r/>
            <w:r>
              <w:rPr>
                <w:b w:val="0"/>
                <w:sz w:val="20"/>
              </w:rPr>
              <w:t>Patient's family member</w:t>
            </w:r>
          </w:p>
        </w:tc>
        <w:tc>
          <w:tcPr>
            <w:tcW w:type="dxa" w:w="2420"/>
            <w:shd w:val="clear" w:fill="FFF2CC"/>
          </w:tcPr>
          <w:p>
            <w:r/>
            <w:r>
              <w:rPr>
                <w:b w:val="0"/>
                <w:sz w:val="20"/>
              </w:rPr>
              <w:t>Gave account of what they observed; reviewed draft timeline for accuracy</w:t>
            </w:r>
          </w:p>
        </w:tc>
        <w:tc>
          <w:tcPr>
            <w:tcW w:type="dxa" w:w="2420"/>
            <w:shd w:val="clear" w:fill="FFF2CC"/>
          </w:tcPr>
          <w:p>
            <w:r/>
            <w:r>
              <w:rPr>
                <w:b w:val="0"/>
                <w:sz w:val="20"/>
              </w:rPr>
              <w:t>14-Feb-2026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