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Risk management</w:t>
      </w:r>
    </w:p>
    <w:p>
      <w:r>
        <w:rPr>
          <w:b/>
          <w:sz w:val="30"/>
        </w:rPr>
        <w:t>PSQ.7 Record 21 — Risk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“Risk-management records for unidentified risks revealed through incident analysis.” — the specific evidence element Risk management of this policy asks for. Every time this activity actually happens, whoever did it adds one new row below with: Incident Reference, Previously Unidentified Risk Found, Risk Management Action, Owner.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whenever incident analysis uncovers a previously unidentified risk. The worked example below shows a real entry: incident reference was “12-Feb-2026 near-miss log entry”, previously unidentified risk found was “Look-alike packaging between two drugs”, owner was “Pharmacy In-charge” — so risk management action was “Repackaged with distinct labelling; added to high-alert list”.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investigation sometimes uncovers a hazard nobody knew existed before — this record proves that when incident analysis reveals a previously unidentified risk, it's actually captured and fed into the hospital's risk-management process, not left as a one-off observation.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Incident Reference: </w:t>
      </w:r>
      <w:r>
        <w:t>Which incident revealed this risk.</w:t>
      </w:r>
    </w:p>
    <w:p>
      <w:pPr>
        <w:pStyle w:val="ListParagraph"/>
      </w:pPr>
      <w:r>
        <w:rPr>
          <w:b/>
        </w:rPr>
        <w:t xml:space="preserve">Previously Unidentified Risk Found: </w:t>
      </w:r>
      <w:r>
        <w:t>The specific new risk that was found — not previously on any register.</w:t>
      </w:r>
    </w:p>
    <w:p>
      <w:pPr>
        <w:pStyle w:val="ListParagraph"/>
      </w:pPr>
      <w:r>
        <w:rPr>
          <w:b/>
        </w:rPr>
        <w:t xml:space="preserve">Risk Management Action: </w:t>
      </w:r>
      <w:r>
        <w:t>What was done to manage it.</w:t>
      </w:r>
    </w:p>
    <w:p>
      <w:pPr>
        <w:pStyle w:val="ListParagraph"/>
      </w:pPr>
      <w:r>
        <w:rPr>
          <w:b/>
        </w:rPr>
        <w:t xml:space="preserve">Owner: </w:t>
      </w:r>
      <w:r>
        <w:t>Who owns making sure it's actually done.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Incident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Previously Unidentified Risk Found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Risk Management Action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12-Feb-2026 near-miss log entry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Look-alike packaging between two drugs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Repackaged with distinct labelling; added to high-alert list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Pharmacy In-charge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