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ROM.1.a — Those responsible for governance are identified and their roles and responsibilities are defined and documented.</w:t>
      </w:r>
    </w:p>
    <w:p>
      <w:r>
        <w:rPr>
          <w:b/>
          <w:sz w:val="30"/>
        </w:rPr>
        <w:t>ROM.1 Record 3 — Those responsible for governance are identified and their roles and responsibilities are defined and documented.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“Dated record of the last review or update of the list.” — the specific evidence element Those responsible for governance are identified and their roles and responsibilities are defined and documented.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Company Secretary or Quality Coordinator uses this record whenever the governing body's membership or roles are first documented or later reviewed. The worked example below shows a real entry: on 15-Jan-2026, reviewed by was “Quality Coordinator”, next review due was “Jan-2027” — so finding / outcome was “Statement reaffirmed unchanged; still accurately displayed”.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nobody has formally written down who is actually accountable for governing the hospital, no one can be held to that accountability when something goes wrong — this record proves the real people, their real seats, and their real responsibilities are actually documented, not just assumed. This is a CORE requirement — NABH treats it as non-negotiable, not aspirational.</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 — a real name and designation.</w:t>
      </w:r>
    </w:p>
    <w:p>
      <w:pPr>
        <w:pStyle w:val="ListParagraph"/>
      </w:pPr>
      <w:r>
        <w:rPr>
          <w:b/>
        </w:rPr>
        <w:t xml:space="preserve">Finding / Outcome: </w:t>
      </w:r>
      <w:r>
        <w:t>What was found — 'no change needed', or the specific change made. Don't leave this blank even if nothing changed; write 'reaffirmed, no change.'</w:t>
      </w:r>
    </w:p>
    <w:p>
      <w:pPr>
        <w:pStyle w:val="ListParagraph"/>
      </w:pPr>
      <w:r>
        <w:rPr>
          <w:b/>
        </w:rPr>
        <w:t xml:space="preserve">Next Review Due: </w:t>
      </w:r>
      <w:r>
        <w:t>When this is next due for review — usually one year out.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Quality Coordinator</w:t>
            </w:r>
          </w:p>
        </w:tc>
        <w:tc>
          <w:tcPr>
            <w:tcW w:type="dxa" w:w="2420"/>
            <w:shd w:val="clear" w:fill="FFF2CC"/>
          </w:tcPr>
          <w:p>
            <w:r/>
            <w:r>
              <w:rPr>
                <w:b w:val="0"/>
                <w:sz w:val="20"/>
              </w:rPr>
              <w:t>Statement reaffirmed unchanged; still accurately displayed</w:t>
            </w:r>
          </w:p>
        </w:tc>
        <w:tc>
          <w:tcPr>
            <w:tcW w:type="dxa" w:w="2420"/>
            <w:shd w:val="clear" w:fill="FFF2CC"/>
          </w:tcPr>
          <w:p>
            <w:r/>
            <w:r>
              <w:rPr>
                <w:b w:val="0"/>
                <w:sz w:val="20"/>
              </w:rPr>
              <w:t>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