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ROM.1.g — Those responsible for governance shall develop clinical governance framework.</w:t>
      </w:r>
    </w:p>
    <w:p>
      <w:r>
        <w:rPr>
          <w:b/>
          <w:sz w:val="30"/>
        </w:rPr>
        <w:t>ROM.1 Record 20 — Those responsible for governance shall develop clinical governance framework.</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“Dated approval record naming who owns the framework.” — the specific evidence element Those responsible for governance shall develop clinical governance framework. of this policy asks for. Every time this happens for real, whoever is responsible adds one new row below with: Document Approved, Date Approved, Approved By, Named Owner.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Superintendent uses this record when the clinical governance framework is first approved, or later reviewed and updated. The worked example below shows a real entry: on 10-Jan-2026, document approved was “Clinical Governance Framework”, approved by was “Governing Body (minute ref. GB/2026/01)”, named owner was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one written clinical governance framework tying together clinical audit, pathways, indicators, education and research, each of those runs as a disconnected activity with nobody accountable for the whole — this record proves the framework is real, owned, and actually kept current. NABH checks this as part of how a functioning governance and leadership structure actually runs.</w:t>
            </w:r>
          </w:p>
        </w:tc>
      </w:tr>
    </w:tbl>
    <w:p/>
    <w:p>
      <w:r>
        <w:rPr>
          <w:b/>
          <w:sz w:val="22"/>
        </w:rPr>
        <w:t>How to fill this in — column by column</w:t>
      </w:r>
    </w:p>
    <w:p>
      <w:pPr>
        <w:pStyle w:val="ListParagraph"/>
      </w:pPr>
      <w:r>
        <w:rPr>
          <w:b/>
        </w:rPr>
        <w:t xml:space="preserve">Document Approved: </w:t>
      </w:r>
      <w:r>
        <w:t>The specific document this approval record is for.</w:t>
      </w:r>
    </w:p>
    <w:p>
      <w:pPr>
        <w:pStyle w:val="ListParagraph"/>
      </w:pPr>
      <w:r>
        <w:rPr>
          <w:b/>
        </w:rPr>
        <w:t xml:space="preserve">Date Approved: </w:t>
      </w:r>
      <w:r>
        <w:t>The date it was actually approved — not drafted or circulated.</w:t>
      </w:r>
    </w:p>
    <w:p>
      <w:pPr>
        <w:pStyle w:val="ListParagraph"/>
      </w:pPr>
      <w:r>
        <w:rPr>
          <w:b/>
        </w:rPr>
        <w:t xml:space="preserve">Approved By: </w:t>
      </w:r>
      <w:r>
        <w:t>Who approved it — the real body/person, with a minute reference where one exists.</w:t>
      </w:r>
    </w:p>
    <w:p>
      <w:pPr>
        <w:pStyle w:val="ListParagraph"/>
      </w:pPr>
      <w:r>
        <w:rPr>
          <w:b/>
        </w:rPr>
        <w:t xml:space="preserve">Named Owner: </w:t>
      </w:r>
      <w:r>
        <w:t>The single named person accountable for keeping it current.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Document Approved</w:t>
            </w:r>
          </w:p>
        </w:tc>
        <w:tc>
          <w:tcPr>
            <w:tcW w:type="dxa" w:w="2420"/>
            <w:shd w:val="clear" w:fill="D9E2F3"/>
          </w:tcPr>
          <w:p>
            <w:r/>
            <w:r>
              <w:rPr>
                <w:b/>
                <w:sz w:val="20"/>
              </w:rPr>
              <w:t>Date Approved</w:t>
            </w:r>
          </w:p>
        </w:tc>
        <w:tc>
          <w:tcPr>
            <w:tcW w:type="dxa" w:w="2420"/>
            <w:shd w:val="clear" w:fill="D9E2F3"/>
          </w:tcPr>
          <w:p>
            <w:r/>
            <w:r>
              <w:rPr>
                <w:b/>
                <w:sz w:val="20"/>
              </w:rPr>
              <w:t>Approved By</w:t>
            </w:r>
          </w:p>
        </w:tc>
        <w:tc>
          <w:tcPr>
            <w:tcW w:type="dxa" w:w="2420"/>
            <w:shd w:val="clear" w:fill="D9E2F3"/>
          </w:tcPr>
          <w:p>
            <w:r/>
            <w:r>
              <w:rPr>
                <w:b/>
                <w:sz w:val="20"/>
              </w:rPr>
              <w:t>Named Owner</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Clinical Governance Framework</w:t>
            </w:r>
          </w:p>
        </w:tc>
        <w:tc>
          <w:tcPr>
            <w:tcW w:type="dxa" w:w="2420"/>
            <w:shd w:val="clear" w:fill="FFF2CC"/>
          </w:tcPr>
          <w:p>
            <w:r/>
            <w:r>
              <w:rPr>
                <w:b w:val="0"/>
                <w:sz w:val="20"/>
              </w:rPr>
              <w:t>10-Jan-2026</w:t>
            </w:r>
          </w:p>
        </w:tc>
        <w:tc>
          <w:tcPr>
            <w:tcW w:type="dxa" w:w="2420"/>
            <w:shd w:val="clear" w:fill="FFF2CC"/>
          </w:tcPr>
          <w:p>
            <w:r/>
            <w:r>
              <w:rPr>
                <w:b w:val="0"/>
                <w:sz w:val="20"/>
              </w:rPr>
              <w:t>Governing Body (minute ref. GB/2026/01)</w:t>
            </w:r>
          </w:p>
        </w:tc>
        <w:tc>
          <w:tcPr>
            <w:tcW w:type="dxa" w:w="2420"/>
            <w:shd w:val="clear" w:fill="FFF2CC"/>
          </w:tcPr>
          <w:p>
            <w:r/>
            <w:r>
              <w:rPr>
                <w:b w:val="0"/>
                <w:sz w:val="20"/>
              </w:rPr>
              <w:t>Medical Superintendent</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