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ROM.1.h — Those responsible for governance support the ethical management framework of the organisation.</w:t>
      </w:r>
    </w:p>
    <w:p>
      <w:r>
        <w:rPr>
          <w:b/>
          <w:sz w:val="30"/>
        </w:rPr>
        <w:t>ROM.1 Record 24 — Those responsible for governance support the ethical management framework of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“Decisions recorded on ethics matters raised.” — the specific evidence element Those responsible for governance support the ethical management framework of the organisation. of this policy asks for. Every time this happens for real, whoever is responsible adds one new row below with: Date, Ethics Matter Raised, Decision Recorded, Recorded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an ethics issue actually reaches governance, or resources are allocated to the ethics framework. The worked example below shows a real entry: on 18-Jan-2026, ethics matter raised was “Possible conflict of interest — vendor contract involving a governing-body member's relative”, recorded by was “Company Secretary” — so decision recorded was “Member recused from the vote; contract awarded via independent tender”.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ethics framework that only lives with middle management, with no real governance attention or funding behind it, folds the first time a serious ethical conflict actually comes up — this record proves governance is genuinely engaged with real ethics issues, not just aware the framework exists. NABH checks this as part of how a functioning governance and leadership structure actually runs.</w:t>
            </w:r>
          </w:p>
        </w:tc>
      </w:tr>
    </w:tbl>
    <w:p/>
    <w:p>
      <w:r>
        <w:rPr>
          <w:b/>
          <w:sz w:val="22"/>
        </w:rPr>
        <w:t>How to fill this in — column by column</w:t>
      </w:r>
    </w:p>
    <w:p>
      <w:pPr>
        <w:pStyle w:val="ListParagraph"/>
      </w:pPr>
      <w:r>
        <w:rPr>
          <w:b/>
        </w:rPr>
        <w:t xml:space="preserve">Date: </w:t>
      </w:r>
      <w:r>
        <w:t>The date this ethics matter was actually decided on.</w:t>
      </w:r>
    </w:p>
    <w:p>
      <w:pPr>
        <w:pStyle w:val="ListParagraph"/>
      </w:pPr>
      <w:r>
        <w:rPr>
          <w:b/>
        </w:rPr>
        <w:t xml:space="preserve">Ethics Matter Raised: </w:t>
      </w:r>
      <w:r>
        <w:t>What the actual matter was, specifically — not 'an ethical issue.'</w:t>
      </w:r>
    </w:p>
    <w:p>
      <w:pPr>
        <w:pStyle w:val="ListParagraph"/>
      </w:pPr>
      <w:r>
        <w:rPr>
          <w:b/>
        </w:rPr>
        <w:t xml:space="preserve">Decision Recorded: </w:t>
      </w:r>
      <w:r>
        <w:t>What was actually decided, word for word from the record.</w:t>
      </w:r>
    </w:p>
    <w:p>
      <w:pPr>
        <w:pStyle w:val="ListParagraph"/>
      </w:pPr>
      <w:r>
        <w:rPr>
          <w:b/>
        </w:rPr>
        <w:t xml:space="preserve">Recorded By: </w:t>
      </w:r>
      <w:r>
        <w:t>Who recorded this decision.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Ethics Matter Raised</w:t>
            </w:r>
          </w:p>
        </w:tc>
        <w:tc>
          <w:tcPr>
            <w:tcW w:type="dxa" w:w="2420"/>
            <w:shd w:val="clear" w:fill="D9E2F3"/>
          </w:tcPr>
          <w:p>
            <w:r/>
            <w:r>
              <w:rPr>
                <w:b/>
                <w:sz w:val="20"/>
              </w:rPr>
              <w:t>Decision Recorded</w:t>
            </w:r>
          </w:p>
        </w:tc>
        <w:tc>
          <w:tcPr>
            <w:tcW w:type="dxa" w:w="2420"/>
            <w:shd w:val="clear" w:fill="D9E2F3"/>
          </w:tcPr>
          <w:p>
            <w:r/>
            <w:r>
              <w:rPr>
                <w:b/>
                <w:sz w:val="20"/>
              </w:rPr>
              <w:t>Recorded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18-Jan-2026</w:t>
            </w:r>
          </w:p>
        </w:tc>
        <w:tc>
          <w:tcPr>
            <w:tcW w:type="dxa" w:w="2420"/>
            <w:shd w:val="clear" w:fill="FFF2CC"/>
          </w:tcPr>
          <w:p>
            <w:r/>
            <w:r>
              <w:rPr>
                <w:b w:val="0"/>
                <w:sz w:val="20"/>
              </w:rPr>
              <w:t>Possible conflict of interest — vendor contract involving a governing-body member's relative</w:t>
            </w:r>
          </w:p>
        </w:tc>
        <w:tc>
          <w:tcPr>
            <w:tcW w:type="dxa" w:w="2420"/>
            <w:shd w:val="clear" w:fill="FFF2CC"/>
          </w:tcPr>
          <w:p>
            <w:r/>
            <w:r>
              <w:rPr>
                <w:b w:val="0"/>
                <w:sz w:val="20"/>
              </w:rPr>
              <w:t>Member recused from the vote; contract awarded via independent tender</w:t>
            </w:r>
          </w:p>
        </w:tc>
        <w:tc>
          <w:tcPr>
            <w:tcW w:type="dxa" w:w="2420"/>
            <w:shd w:val="clear" w:fill="FFF2CC"/>
          </w:tcPr>
          <w:p>
            <w:r/>
            <w:r>
              <w:rPr>
                <w:b w:val="0"/>
                <w:sz w:val="20"/>
              </w:rPr>
              <w:t>Company Secretary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