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ROM.3.e — Sustainable procurement</w:t>
      </w:r>
    </w:p>
    <w:p>
      <w:r>
        <w:rPr>
          <w:b/>
          <w:sz w:val="30"/>
        </w:rPr>
        <w:t>ROM.3 Record 12 — Sustainable procurement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“Purchase policy naming environmental and social tender criteria.” — the specific evidence element Sustainable procurement of this policy asks for. Every time this happens for real, whoever is responsible adds one new row below with: Version, Date Approved, Approved By, Named Owner,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Procurement/Purchase team uses this record whenever a real tender or procurement is evaluated against sustainable-procurement criteria. The worked example below shows a real entry: on 10-Jan-2026, version was “v1.0”, approved by was “Governing Body”, named owner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purchase policy that names environmental and social criteria but is never actually applied when a real tender is evaluated is worthless — this record proves those criteria were genuinely used in a real procurement decision.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start at v1.0, increase for each revision.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 — not the date it was drafted.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 — the governing body, by a minuted decision, not a single manager signing alone unless the by-laws say that's sufficient.</w:t>
      </w:r>
    </w:p>
    <w:p>
      <w:pPr>
        <w:pStyle w:val="ListParagraph"/>
      </w:pPr>
      <w:r>
        <w:rPr>
          <w:b/>
        </w:rPr>
        <w:t xml:space="preserve">Named Owner: </w:t>
      </w:r>
      <w:r>
        <w:t>The single named person accountable for keeping this framework current — a person, not a department.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framework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Named 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