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ROM.3.g — Financial sustainability</w:t>
      </w:r>
    </w:p>
    <w:p>
      <w:r>
        <w:rPr>
          <w:b/>
          <w:sz w:val="30"/>
        </w:rPr>
        <w:t>ROM.3 Record 18 — Financial sustainability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the hospital reviews how it balances resource allocation, costs and revenue (form defined by the hospital).” — the specific evidence element Financial sustainability of this policy asks for. Every time this happens for real, whoever is responsible adds one new row below with: Review Date, Finding, Action Taken/Noted.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Head uses this record whenever the hospital's financial-sustainability review is actually carried out and acted on. The worked example below shows a real entry: on 31-Mar-2026, finding was “Consumables cost up 8% against budget, mainly imaging contrast media” — so action taken/noted was “Renegotiated supplier rate; monitored monthly for next quarter”.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never actually reviews how it balances cost, revenue and resource allocation can drift into financial trouble without anyone noticing until it's serious — this record proves a real review happened and its findings were genuinely acted on.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financial-sustainability review was actually done.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found.</w:t>
      </w:r>
    </w:p>
    <w:p>
      <w:pPr>
        <w:pStyle w:val="ListParagraph"/>
      </w:pPr>
      <w:r>
        <w:rPr>
          <w:b/>
        </w:rPr>
        <w:t xml:space="preserve">Action Taken/Noted: </w:t>
      </w:r>
      <w:r>
        <w:t>What was actually done or noted as a result — don't leave this blank.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Action Taken/Noted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31-Mar-2026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Consumables cost up 8% against budget, mainly imaging contrast media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Renegotiated supplier rate; monitored monthly for next quarter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