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ROM.4.c — Department leader appointment</w:t>
      </w:r>
    </w:p>
    <w:p>
      <w:r>
        <w:rPr>
          <w:b/>
          <w:sz w:val="30"/>
        </w:rPr>
        <w:t>ROM.4 Record 8 — Department leader appointment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“Each department leader's documented service scope for their department.” — the specific evidence element Department leader appointment of this policy asks for. Every time this happens for real, whoever is responsible adds one new row below with: Department, Leader, Documented Service Scope.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person heading the organisation uses this record whenever a department leader is appointed, or a leadership gap is found and escalated. The worked example below shows a real entry: department was “Radiology”, leader was “Dr. P. Menon”, documented service scope was “X-ray, CT, USG reporting; 24x7 emergency imaging coverage; equipment QA oversight”.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department running for months without anyone actually formally appointed to lead it is a real patient-safety risk, not a paperwork gap — this record proves every department has a real, appointed leader with a defined scope, and any gap gets escalated immediately.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Department: </w:t>
      </w:r>
      <w:r>
        <w:t>The specific department this row is for.</w:t>
      </w:r>
    </w:p>
    <w:p>
      <w:pPr>
        <w:pStyle w:val="ListParagraph"/>
      </w:pPr>
      <w:r>
        <w:rPr>
          <w:b/>
        </w:rPr>
        <w:t xml:space="preserve">Leader: </w:t>
      </w:r>
      <w:r>
        <w:t>The actual department leader's name.</w:t>
      </w:r>
    </w:p>
    <w:p>
      <w:pPr>
        <w:pStyle w:val="ListParagraph"/>
      </w:pPr>
      <w:r>
        <w:rPr>
          <w:b/>
        </w:rPr>
        <w:t xml:space="preserve">Documented Service Scope: </w:t>
      </w:r>
      <w:r>
        <w:t>What their department actually covers, in real terms — not a copied job title.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Leader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Documented Service Scope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Radiology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Dr. P. Menon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X-ray, CT, USG reporting; 24x7 emergency imaging coverage; equipment QA oversight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