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ROM.6.b — Leadership provides resources for proactive risk-assessment and risk-reduction activities.</w:t>
      </w:r>
    </w:p>
    <w:p>
      <w:r>
        <w:rPr>
          <w:b/>
          <w:sz w:val="30"/>
        </w:rPr>
        <w:t>ROM.6 Record 4 — Leadership provides resources for proactive risk-assessment and risk-reduction activities.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“Budget or resource-allocation record for risk-assessment and risk-reduction activity.” — the specific evidence element Leadership provides resources for proactive risk-assessment and risk-reduction activities. of this policy asks for. Every time this happens for real, whoever is responsible adds one new row below with: Date, Initiative / Activity, Resource / Funds Allocated, Approved By.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Leadership uses this record whenever budget, training or contingency funds are actually allocated to risk-reduction activity. The worked example below shows a real entry: on 15-Jan-2026, initiative / activity was “Additional risk-assessment training + HFMEA facilitation”, resource / funds allocated was “₹1,20,000 (annual)”, approved by was “Governing Body (minute ref. GB/2026/01)”.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Leadership saying risk management matters and leadership actually paying and training people for it are two different things — this record proves real money, real training and a real contingency allocation actually went toward risk-reduction activity.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date the allocation was actually decided.</w:t>
      </w:r>
    </w:p>
    <w:p>
      <w:pPr>
        <w:pStyle w:val="ListParagraph"/>
      </w:pPr>
      <w:r>
        <w:rPr>
          <w:b/>
        </w:rPr>
        <w:t xml:space="preserve">Initiative / Activity: </w:t>
      </w:r>
      <w:r>
        <w:t>The specific initiative or activity this money/resource supports — name it, don't write 'safety improvement' with nothing further.</w:t>
      </w:r>
    </w:p>
    <w:p>
      <w:pPr>
        <w:pStyle w:val="ListParagraph"/>
      </w:pPr>
      <w:r>
        <w:rPr>
          <w:b/>
        </w:rPr>
        <w:t xml:space="preserve">Resource / Funds Allocated: </w:t>
      </w:r>
      <w:r>
        <w:t>The actual amount or resource committed — a real figure or a real quantity, not 'adequate funding.'</w:t>
      </w:r>
    </w:p>
    <w:p>
      <w:pPr>
        <w:pStyle w:val="ListParagraph"/>
      </w:pPr>
      <w:r>
        <w:rPr>
          <w:b/>
        </w:rPr>
        <w:t xml:space="preserve">Approved By: </w:t>
      </w:r>
      <w:r>
        <w:t>Who approved this allocation — the governing body, by minute reference.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Initiative / Activity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Resource / Funds Allocated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Additional risk-assessment training + HFMEA facilitation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₹1,20,000 (annual)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Governing Body (minute ref. GB/2026/01)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