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ROM.6.d — Leadership ensures implementation of systems for internal and external reporting of system and process failures.</w:t>
      </w:r>
    </w:p>
    <w:p>
      <w:r>
        <w:rPr>
          <w:b/>
          <w:sz w:val="30"/>
        </w:rPr>
        <w:t>ROM.6 Record 11 — Leadership ensures implementation of systems for internal and external reporting of system and process failures.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“Sampled internal and external failure reports (for example equipment breakdown, an external-agency notification such as AERB for a radiation-source event).” — the specific evidence element Leadership ensures implementation of systems for internal and external reporting of system and process failures. of this policy asks for. Every time this happens for real, whoever is responsible adds one new row below with: Date, Failure/Incident, Reported Internally To, Reported Externally To (if any), Outcome.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a system or process failure is actually reported, or the continuity plan is tested. The worked example below shows a real entry: on 14-Jan-2026, failure/incident was “OT backup generator failed to start during a scheduled test”, reported internally to was “Facility Manager, Medical Superintendent”, reported externally to (if any) was “Not applicable — internal only” — so outcome was “Fault repaired same day; second backup unit sourced”.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system failure that's never reported — internally or to the right external agency — can repeat itself with worse consequences the second time, and an untested continuity plan is really just an unverified assumption — this record proves real failures were really reported through a real system, and the continuity plan was actually tested. NABH checks this as part of how a functioning governance and leadership structure actually runs.</w:t>
            </w:r>
          </w:p>
        </w:tc>
      </w:tr>
    </w:tbl>
    <w:p/>
    <w:p>
      <w:r>
        <w:rPr>
          <w:b/>
          <w:sz w:val="22"/>
        </w:rPr>
        <w:t>How to fill this in — column by column</w:t>
      </w:r>
    </w:p>
    <w:p>
      <w:pPr>
        <w:pStyle w:val="ListParagraph"/>
      </w:pPr>
      <w:r>
        <w:rPr>
          <w:b/>
        </w:rPr>
        <w:t xml:space="preserve">Date: </w:t>
      </w:r>
      <w:r>
        <w:t>The actual date the failure or incident occurred or was found.</w:t>
      </w:r>
    </w:p>
    <w:p>
      <w:pPr>
        <w:pStyle w:val="ListParagraph"/>
      </w:pPr>
      <w:r>
        <w:rPr>
          <w:b/>
        </w:rPr>
        <w:t xml:space="preserve">Failure/Incident: </w:t>
      </w:r>
      <w:r>
        <w:t>What actually failed or happened — be specific.</w:t>
      </w:r>
    </w:p>
    <w:p>
      <w:pPr>
        <w:pStyle w:val="ListParagraph"/>
      </w:pPr>
      <w:r>
        <w:rPr>
          <w:b/>
        </w:rPr>
        <w:t xml:space="preserve">Reported Internally To: </w:t>
      </w:r>
      <w:r>
        <w:t>Who inside the hospital this was actually reported to.</w:t>
      </w:r>
    </w:p>
    <w:p>
      <w:pPr>
        <w:pStyle w:val="ListParagraph"/>
      </w:pPr>
      <w:r>
        <w:rPr>
          <w:b/>
        </w:rPr>
        <w:t xml:space="preserve">Reported Externally To (if any): </w:t>
      </w:r>
      <w:r>
        <w:t>Which external agency this had to be reported to, if any (e.g. AERB for a radiation-source event) — write 'Not applicable' if none, don't leave blank.</w:t>
      </w:r>
    </w:p>
    <w:p>
      <w:pPr>
        <w:pStyle w:val="ListParagraph"/>
      </w:pPr>
      <w:r>
        <w:rPr>
          <w:b/>
        </w:rPr>
        <w:t xml:space="preserve">Outcome: </w:t>
      </w:r>
      <w:r>
        <w:t>What actually happened as a result.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Failure/Incident</w:t>
            </w:r>
          </w:p>
        </w:tc>
        <w:tc>
          <w:tcPr>
            <w:tcW w:type="dxa" w:w="1936"/>
            <w:shd w:val="clear" w:fill="D9E2F3"/>
          </w:tcPr>
          <w:p>
            <w:r/>
            <w:r>
              <w:rPr>
                <w:b/>
                <w:sz w:val="20"/>
              </w:rPr>
              <w:t>Reported Internally To</w:t>
            </w:r>
          </w:p>
        </w:tc>
        <w:tc>
          <w:tcPr>
            <w:tcW w:type="dxa" w:w="1936"/>
            <w:shd w:val="clear" w:fill="D9E2F3"/>
          </w:tcPr>
          <w:p>
            <w:r/>
            <w:r>
              <w:rPr>
                <w:b/>
                <w:sz w:val="20"/>
              </w:rPr>
              <w:t>Reported Externally To (if any)</w:t>
            </w:r>
          </w:p>
        </w:tc>
        <w:tc>
          <w:tcPr>
            <w:tcW w:type="dxa" w:w="1936"/>
            <w:shd w:val="clear" w:fill="D9E2F3"/>
          </w:tcPr>
          <w:p>
            <w:r/>
            <w:r>
              <w:rPr>
                <w:b/>
                <w:sz w:val="20"/>
              </w:rPr>
              <w:t>Outcome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14-Jan-2026</w:t>
            </w:r>
          </w:p>
        </w:tc>
        <w:tc>
          <w:tcPr>
            <w:tcW w:type="dxa" w:w="1936"/>
            <w:shd w:val="clear" w:fill="FFF2CC"/>
          </w:tcPr>
          <w:p>
            <w:r/>
            <w:r>
              <w:rPr>
                <w:b w:val="0"/>
                <w:sz w:val="20"/>
              </w:rPr>
              <w:t>OT backup generator failed to start during a scheduled test</w:t>
            </w:r>
          </w:p>
        </w:tc>
        <w:tc>
          <w:tcPr>
            <w:tcW w:type="dxa" w:w="1936"/>
            <w:shd w:val="clear" w:fill="FFF2CC"/>
          </w:tcPr>
          <w:p>
            <w:r/>
            <w:r>
              <w:rPr>
                <w:b w:val="0"/>
                <w:sz w:val="20"/>
              </w:rPr>
              <w:t>Facility Manager, Medical Superintendent</w:t>
            </w:r>
          </w:p>
        </w:tc>
        <w:tc>
          <w:tcPr>
            <w:tcW w:type="dxa" w:w="1936"/>
            <w:shd w:val="clear" w:fill="FFF2CC"/>
          </w:tcPr>
          <w:p>
            <w:r/>
            <w:r>
              <w:rPr>
                <w:b w:val="0"/>
                <w:sz w:val="20"/>
              </w:rPr>
              <w:t>Not applicable — internal only</w:t>
            </w:r>
          </w:p>
        </w:tc>
        <w:tc>
          <w:tcPr>
            <w:tcW w:type="dxa" w:w="1936"/>
            <w:shd w:val="clear" w:fill="FFF2CC"/>
          </w:tcPr>
          <w:p>
            <w:r/>
            <w:r>
              <w:rPr>
                <w:b w:val="0"/>
                <w:sz w:val="20"/>
              </w:rPr>
              <w:t>Fault repaired same day; second backup unit sourced</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