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Well-Being and Occupational Health</w:t>
      </w:r>
    </w:p>
    <w:p>
      <w:pPr>
        <w:spacing w:after="240"/>
        <w:jc w:val="center"/>
      </w:pPr>
      <w:r>
        <w:rPr>
          <w:i/>
          <w:iCs/>
          <w:sz w:val="20"/>
          <w:szCs w:val="20"/>
        </w:rPr>
        <w:t xml:space="preserve">Staff well-being, health checks, injury treatment and violence prevention.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well-being is promoted through identification of health problems and occupational health hazards, annual health checks, treatment for workplace injuries and measures to prevent and handle workplace violence — general occupational health owned here; infection-specific exposure response owned by HIC.4.</w:t>
      </w:r>
    </w:p>
    <w:p>
      <w:pPr>
        <w:pStyle w:val="Heading1"/>
        <w:spacing w:after="120" w:before="280"/>
      </w:pPr>
      <w:r>
        <w:t xml:space="preserve">1. Purpose</w:t>
      </w:r>
    </w:p>
    <w:p>
      <w:pPr>
        <w:spacing w:after="140"/>
      </w:pPr>
      <w:r>
        <w:rPr>
          <w:sz w:val="22"/>
          <w:szCs w:val="22"/>
        </w:rPr>
        <w:t xml:space="preserve">This policy describes how «Hospital Name» promotes staff well-being through identification of health problems including occupational health hazards, conducts annual health checks, provides treatment for workplace-related injuries, and prevents and handles workplace violence.</w:t>
      </w:r>
    </w:p>
    <w:p>
      <w:pPr>
        <w:spacing w:after="140"/>
      </w:pPr>
      <w:r>
        <w:rPr>
          <w:sz w:val="22"/>
          <w:szCs w:val="22"/>
        </w:rPr>
        <w:t xml:space="preserve">It covers four elements: staff well-being and occupational hazard identification; annual health checks with documented findings; treatment for workplace injuries; and workplace violence prevention and handling.</w:t>
      </w:r>
    </w:p>
    <w:p>
      <w:pPr>
        <w:spacing w:after="140"/>
      </w:pPr>
      <w:r>
        <w:rPr>
          <w:sz w:val="22"/>
          <w:szCs w:val="22"/>
        </w:rPr>
        <w:t xml:space="preserve">HIC.4 owns infection-control occupational response (needlestick, sharps, splash, PEP). This policy owns general staff occupational health programmes. HRM.3.d owns occupational safety training delivery.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«Hospital Name»: clinical, nursing, administrative and support. It applies to the «HR In-Charge / Personnel Officer», the «Medical Superintendent», department heads and the «Quality Coordinator».</w:t>
      </w:r>
    </w:p>
    <w:p>
      <w:pPr>
        <w:spacing w:after="140"/>
      </w:pPr>
      <w:r>
        <w:rPr>
          <w:sz w:val="22"/>
          <w:szCs w:val="22"/>
        </w:rPr>
        <w:t xml:space="preserve">It covers HRM.5.a–d. It does not cover infection-control occupational exposure response and PEP (HIC.4), occupational safety training delivery (HRM.3.d) or credentialing health status verification (HRM.6.b).</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HIC.4 owns infection-control occupational response: needlestick, sharps injury, splash exposure and post-exposure prophylaxis. HRM.5 owns general staff health programmes, annual checks and workplace injury treatment.</w:t>
      </w:r>
    </w:p>
    <w:p>
      <w:pPr>
        <w:pStyle w:val="ListParagraph"/>
        <w:numPr>
          <w:ilvl w:val="0"/>
          <w:numId w:val="1"/>
        </w:numPr>
        <w:spacing w:after="60"/>
      </w:pPr>
      <w:r>
        <w:rPr>
          <w:sz w:val="22"/>
          <w:szCs w:val="22"/>
        </w:rPr>
        <w:t xml:space="preserve">HRM.3.d owns training in occupational safety aspects. This policy owns the health programme and hazard identification.</w:t>
      </w:r>
    </w:p>
    <w:p>
      <w:pPr>
        <w:pStyle w:val="ListParagraph"/>
        <w:numPr>
          <w:ilvl w:val="0"/>
          <w:numId w:val="1"/>
        </w:numPr>
        <w:spacing w:after="60"/>
      </w:pPr>
      <w:r>
        <w:rPr>
          <w:sz w:val="22"/>
          <w:szCs w:val="22"/>
        </w:rPr>
        <w:t xml:space="preserve">PSQ.5 may receive reports of violence-related incidents. This policy owns prevention and handling measures.</w:t>
      </w:r>
    </w:p>
    <w:p>
      <w:pPr>
        <w:pStyle w:val="Heading1"/>
        <w:spacing w:after="120" w:before="280"/>
      </w:pPr>
      <w:r>
        <w:t xml:space="preserve">3. Policy standards</w:t>
      </w:r>
    </w:p>
    <w:p>
      <w:pPr>
        <w:spacing w:after="140"/>
      </w:pPr>
      <w:r>
        <w:rPr>
          <w:sz w:val="22"/>
          <w:szCs w:val="22"/>
        </w:rPr>
        <w:t xml:space="preserve">«Hospital Name» promotes staff well-being through identification of health problems of staff, including occupational health hazards, in accordance with the organisation's policy.</w:t>
      </w:r>
    </w:p>
    <w:p>
      <w:pPr>
        <w:spacing w:after="140"/>
      </w:pPr>
      <w:r>
        <w:rPr>
          <w:sz w:val="22"/>
          <w:szCs w:val="22"/>
        </w:rPr>
        <w:t xml:space="preserve">Health checks of staff are done at least once a year and findings are documented. «Hospital Name» provides treatment to staff who sustain workplace-related injuries.</w:t>
      </w:r>
    </w:p>
    <w:p>
      <w:pPr>
        <w:spacing w:after="140"/>
      </w:pPr>
      <w:r>
        <w:rPr>
          <w:sz w:val="22"/>
          <w:szCs w:val="22"/>
        </w:rPr>
        <w:t xml:space="preserve">«Hospital Name» has measures in place for preventing and handling workplace violence.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Occupational health hazards are identified and addressed per the organisation's policy — not only when a staff member falls ill.</w:t>
      </w:r>
    </w:p>
    <w:p>
      <w:pPr>
        <w:spacing w:after="80"/>
      </w:pPr>
      <w:r>
        <w:rPr>
          <w:sz w:val="22"/>
          <w:szCs w:val="22"/>
        </w:rPr>
        <w:t xml:space="preserve">2. Every active staff member receives a health check at least once a year — not only clinical staff.</w:t>
      </w:r>
    </w:p>
    <w:p>
      <w:pPr>
        <w:spacing w:after="80"/>
      </w:pPr>
      <w:r>
        <w:rPr>
          <w:sz w:val="22"/>
          <w:szCs w:val="22"/>
        </w:rPr>
        <w:t xml:space="preserve">3. Health check findings are documented and filed — not only verbal clearance to work.</w:t>
      </w:r>
    </w:p>
    <w:p>
      <w:pPr>
        <w:spacing w:after="80"/>
      </w:pPr>
      <w:r>
        <w:rPr>
          <w:sz w:val="22"/>
          <w:szCs w:val="22"/>
        </w:rPr>
        <w:t xml:space="preserve">4. Workplace-related injuries receive prompt treatment — not deferred to the staff member's own expense.</w:t>
      </w:r>
    </w:p>
    <w:p>
      <w:pPr>
        <w:spacing w:after="80"/>
      </w:pPr>
      <w:r>
        <w:rPr>
          <w:sz w:val="22"/>
          <w:szCs w:val="22"/>
        </w:rPr>
        <w:t xml:space="preserve">5. Workplace violence prevention and handling measures are documented and communicated — not only a reactive response after an event.</w:t>
      </w:r>
    </w:p>
    <w:p>
      <w:pPr>
        <w:spacing w:after="140"/>
      </w:pPr>
      <w:r>
        <w:rPr>
          <w:sz w:val="22"/>
          <w:szCs w:val="22"/>
        </w:rPr>
        <w:t xml:space="preserve">Staff who experience a workplace injury or violence report it immediately to the «HR In-Charge / Personnel Officer» or the «Medical Superintendent». Infection-specific exposure follows HIC.4 immediately.</w:t>
      </w:r>
    </w:p>
    <w:p>
      <w:pPr>
        <w:spacing w:after="140"/>
      </w:pPr>
      <w:r>
        <w:rPr>
          <w:sz w:val="22"/>
          <w:szCs w:val="22"/>
        </w:rPr>
        <w:t xml:space="preserve">Staff who identify an unaddressed occupational hazard report it within the same working week.</w:t>
      </w:r>
    </w:p>
    <w:p>
      <w:pPr>
        <w:pStyle w:val="Heading1"/>
        <w:spacing w:after="120" w:before="280"/>
      </w:pPr>
      <w:r>
        <w:t xml:space="preserve">5. What we do</w:t>
      </w:r>
    </w:p>
    <w:p>
      <w:pPr>
        <w:pStyle w:val="Heading2"/>
        <w:spacing w:after="100" w:before="220"/>
      </w:pPr>
      <w:r>
        <w:t xml:space="preserve">5.1 Staff well-being and occupational health hazard identification</w:t>
      </w:r>
    </w:p>
    <w:p>
      <w:pPr>
        <w:spacing w:after="140"/>
      </w:pPr>
      <w:r>
        <w:rPr>
          <w:sz w:val="22"/>
          <w:szCs w:val="22"/>
        </w:rPr>
        <w:t xml:space="preserve">Staff well-being is promoted through identification of health problems of the staff, including occupational health hazards, in accordance with the organisation's policy at «Hospital Name». The occupational health programme covers: hazard identification in each department; health surveillance for roles with known exposure (for example radiology, laboratory, operating areas); immunisation status tracking; and mental well-being awareness.</w:t>
      </w:r>
    </w:p>
    <w:p>
      <w:pPr>
        <w:spacing w:after="140"/>
      </w:pPr>
      <w:r>
        <w:rPr>
          <w:sz w:val="22"/>
          <w:szCs w:val="22"/>
        </w:rPr>
        <w:t xml:space="preserve">The «HR In-Charge / Personnel Officer» maintains an occupational health hazard register updated «annually» or when a new hazard is identified. Department heads report new hazards. Infection-specific exposure (needlestick, sharps, splash) is handled per HIC.4 — this step does not duplicate PEP procedures.</w:t>
      </w:r>
    </w:p>
    <w:p>
      <w:pPr>
        <w:pStyle w:val="Heading2"/>
        <w:spacing w:after="100" w:before="220"/>
      </w:pPr>
      <w:r>
        <w:t xml:space="preserve">5.2 Annual health checks</w:t>
      </w:r>
    </w:p>
    <w:p>
      <w:pPr>
        <w:spacing w:after="140"/>
      </w:pPr>
      <w:r>
        <w:rPr>
          <w:sz w:val="22"/>
          <w:szCs w:val="22"/>
        </w:rPr>
        <w:t xml:space="preserve">Health checks of staff are done at least once a year and the findings/results are documented at «Hospital Name». The annual check includes: general physical examination; «vision and hearing screening where role requires»; «chest X-ray or PPD for high-risk roles»; vaccination status review; and any role-specific tests defined in the hazard register.</w:t>
      </w:r>
    </w:p>
    <w:p>
      <w:pPr>
        <w:spacing w:after="140"/>
      </w:pPr>
      <w:r>
        <w:rPr>
          <w:sz w:val="22"/>
          <w:szCs w:val="22"/>
        </w:rPr>
        <w:t xml:space="preserve">Results are recorded on a standard health-check form filed in the personnel file (HRM.6). Abnormal findings are referred for follow-up treatment. Staff who cannot perform patient-facing duties due to health findings are reassigned per medical advice until cleared.</w:t>
      </w:r>
    </w:p>
    <w:p>
      <w:pPr>
        <w:pStyle w:val="Heading2"/>
        <w:spacing w:after="100" w:before="220"/>
      </w:pPr>
      <w:r>
        <w:t xml:space="preserve">5.3 Treatment for workplace-related injuries</w:t>
      </w:r>
    </w:p>
    <w:p>
      <w:pPr>
        <w:spacing w:after="140"/>
      </w:pPr>
      <w:r>
        <w:rPr>
          <w:sz w:val="22"/>
          <w:szCs w:val="22"/>
        </w:rPr>
        <w:t xml:space="preserve">Organisation provides treatment to staff who sustain workplace-related injuries at «Hospital Name». Workplace injuries include: slips and falls; manual handling injuries; chemical exposure (non-infection); and injuries from workplace violence.</w:t>
      </w:r>
    </w:p>
    <w:p>
      <w:pPr>
        <w:spacing w:after="140"/>
      </w:pPr>
      <w:r>
        <w:rPr>
          <w:sz w:val="22"/>
          <w:szCs w:val="22"/>
        </w:rPr>
        <w:t xml:space="preserve">The procedure covers: immediate first aid; medical assessment; treatment at «the hospital emergency service or a designated panel doctor»; documentation of the injury; and return-to-work assessment. Injury records are filed in the personnel file and reported to the Medical Superintendent. Repeat injuries trigger review of the hazard register.</w:t>
      </w:r>
    </w:p>
    <w:p>
      <w:pPr>
        <w:pStyle w:val="Heading2"/>
        <w:spacing w:after="100" w:before="220"/>
      </w:pPr>
      <w:r>
        <w:t xml:space="preserve">5.4 Workplace violence prevention and handling</w:t>
      </w:r>
    </w:p>
    <w:p>
      <w:pPr>
        <w:spacing w:after="140"/>
      </w:pPr>
      <w:r>
        <w:rPr>
          <w:sz w:val="22"/>
          <w:szCs w:val="22"/>
        </w:rPr>
        <w:t xml:space="preserve">The organisation has measures in place for preventing and handling workplace violence at «Hospital Name». Prevention measures include: staff training on de-escalation (HRM.3.d); visible security measures; restricted access to high-risk areas; and a zero-tolerance policy communicated to patients and visitors.</w:t>
      </w:r>
    </w:p>
    <w:p>
      <w:pPr>
        <w:spacing w:after="140"/>
      </w:pPr>
      <w:r>
        <w:rPr>
          <w:sz w:val="22"/>
          <w:szCs w:val="22"/>
        </w:rPr>
        <w:t xml:space="preserve">Handling measures cover: immediate safety response; reporting to the Medical Superintendent and «local police where applicable»; medical treatment for injured staff (step 5.3); incident documentation (cross-reference PSQ.5 for clinical incidents); support and counselling for affected staff; and review of prevention measures after each event.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occupational health policy and workplace violence measures.</w:t>
      </w:r>
    </w:p>
    <w:p>
      <w:pPr>
        <w:pStyle w:val="ListParagraph"/>
        <w:numPr>
          <w:ilvl w:val="0"/>
          <w:numId w:val="1"/>
        </w:numPr>
        <w:spacing w:after="60"/>
      </w:pPr>
      <w:r>
        <w:rPr>
          <w:sz w:val="22"/>
          <w:szCs w:val="22"/>
        </w:rPr>
        <w:t xml:space="preserve">Ensures treatment is provided for workplace injuries.</w:t>
      </w:r>
    </w:p>
    <w:p>
      <w:pPr>
        <w:pStyle w:val="ListParagraph"/>
        <w:numPr>
          <w:ilvl w:val="0"/>
          <w:numId w:val="1"/>
        </w:numPr>
        <w:spacing w:after="60"/>
      </w:pPr>
      <w:r>
        <w:rPr>
          <w:sz w:val="22"/>
          <w:szCs w:val="22"/>
        </w:rPr>
        <w:t xml:space="preserve">Reviews violence incidents and prevention effectiveness.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occupational health hazard register and health-check schedule.</w:t>
      </w:r>
    </w:p>
    <w:p>
      <w:pPr>
        <w:pStyle w:val="ListParagraph"/>
        <w:numPr>
          <w:ilvl w:val="0"/>
          <w:numId w:val="1"/>
        </w:numPr>
        <w:spacing w:after="60"/>
      </w:pPr>
      <w:r>
        <w:rPr>
          <w:sz w:val="22"/>
          <w:szCs w:val="22"/>
        </w:rPr>
        <w:t xml:space="preserve">Coordinates annual health checks and files results.</w:t>
      </w:r>
    </w:p>
    <w:p>
      <w:pPr>
        <w:pStyle w:val="ListParagraph"/>
        <w:numPr>
          <w:ilvl w:val="0"/>
          <w:numId w:val="1"/>
        </w:numPr>
        <w:spacing w:after="60"/>
      </w:pPr>
      <w:r>
        <w:rPr>
          <w:sz w:val="22"/>
          <w:szCs w:val="22"/>
        </w:rPr>
        <w:t xml:space="preserve">Documents workplace injuries and violence incidents.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Report occupational hazards in their areas.</w:t>
      </w:r>
    </w:p>
    <w:p>
      <w:pPr>
        <w:pStyle w:val="ListParagraph"/>
        <w:numPr>
          <w:ilvl w:val="0"/>
          <w:numId w:val="1"/>
        </w:numPr>
        <w:spacing w:after="60"/>
      </w:pPr>
      <w:r>
        <w:rPr>
          <w:sz w:val="22"/>
          <w:szCs w:val="22"/>
        </w:rPr>
        <w:t xml:space="preserve">Ensure staff attend annual health checks.</w:t>
      </w:r>
    </w:p>
    <w:p>
      <w:pPr>
        <w:pStyle w:val="ListParagraph"/>
        <w:numPr>
          <w:ilvl w:val="0"/>
          <w:numId w:val="1"/>
        </w:numPr>
        <w:spacing w:after="60"/>
      </w:pPr>
      <w:r>
        <w:rPr>
          <w:sz w:val="22"/>
          <w:szCs w:val="22"/>
        </w:rPr>
        <w:t xml:space="preserve">Support immediate response to violence incidents.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Attend annual health checks.</w:t>
      </w:r>
    </w:p>
    <w:p>
      <w:pPr>
        <w:pStyle w:val="ListParagraph"/>
        <w:numPr>
          <w:ilvl w:val="0"/>
          <w:numId w:val="1"/>
        </w:numPr>
        <w:spacing w:after="60"/>
      </w:pPr>
      <w:r>
        <w:rPr>
          <w:sz w:val="22"/>
          <w:szCs w:val="22"/>
        </w:rPr>
        <w:t xml:space="preserve">Report workplace injuries and violence immediately.</w:t>
      </w:r>
    </w:p>
    <w:p>
      <w:pPr>
        <w:pStyle w:val="ListParagraph"/>
        <w:numPr>
          <w:ilvl w:val="0"/>
          <w:numId w:val="1"/>
        </w:numPr>
        <w:spacing w:after="60"/>
      </w:pPr>
      <w:r>
        <w:rPr>
          <w:sz w:val="22"/>
          <w:szCs w:val="22"/>
        </w:rPr>
        <w:t xml:space="preserve">Follow infection-exposure procedures per HIC.4 when applicable.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hazard identification, health checks, injury treatment and violence measures.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Occupational health hazard register current.</w:t>
      </w:r>
    </w:p>
    <w:p>
      <w:pPr>
        <w:pStyle w:val="ListParagraph"/>
        <w:numPr>
          <w:ilvl w:val="0"/>
          <w:numId w:val="1"/>
        </w:numPr>
        <w:spacing w:after="60"/>
      </w:pPr>
      <w:r>
        <w:rPr>
          <w:sz w:val="22"/>
          <w:szCs w:val="22"/>
        </w:rPr>
        <w:t xml:space="preserve">All active staff received annual health check within the last «12 months».</w:t>
      </w:r>
    </w:p>
    <w:p>
      <w:pPr>
        <w:pStyle w:val="ListParagraph"/>
        <w:numPr>
          <w:ilvl w:val="0"/>
          <w:numId w:val="1"/>
        </w:numPr>
        <w:spacing w:after="60"/>
      </w:pPr>
      <w:r>
        <w:rPr>
          <w:sz w:val="22"/>
          <w:szCs w:val="22"/>
        </w:rPr>
        <w:t xml:space="preserve">Health check findings documented and filed.</w:t>
      </w:r>
    </w:p>
    <w:p>
      <w:pPr>
        <w:pStyle w:val="ListParagraph"/>
        <w:numPr>
          <w:ilvl w:val="0"/>
          <w:numId w:val="1"/>
        </w:numPr>
        <w:spacing w:after="60"/>
      </w:pPr>
      <w:r>
        <w:rPr>
          <w:sz w:val="22"/>
          <w:szCs w:val="22"/>
        </w:rPr>
        <w:t xml:space="preserve">Workplace injury records show prompt treatment provided.</w:t>
      </w:r>
    </w:p>
    <w:p>
      <w:pPr>
        <w:pStyle w:val="ListParagraph"/>
        <w:numPr>
          <w:ilvl w:val="0"/>
          <w:numId w:val="1"/>
        </w:numPr>
        <w:spacing w:after="60"/>
      </w:pPr>
      <w:r>
        <w:rPr>
          <w:sz w:val="22"/>
          <w:szCs w:val="22"/>
        </w:rPr>
        <w:t xml:space="preserve">Workplace violence prevention measures communicated; any incidents handled per procedure.</w:t>
      </w:r>
    </w:p>
    <w:p>
      <w:pPr>
        <w:spacing w:after="140"/>
      </w:pPr>
      <w:r>
        <w:rPr>
          <w:sz w:val="22"/>
          <w:szCs w:val="22"/>
        </w:rPr>
        <w:t xml:space="preserve">Root-cause analysis is required when a staff member's annual health check is overdue by more than «three months» or when a workplace injury was not treated promptly.</w:t>
      </w:r>
    </w:p>
    <w:p>
      <w:pPr>
        <w:spacing w:after="140"/>
      </w:pPr>
      <w:r>
        <w:rPr>
          <w:sz w:val="22"/>
          <w:szCs w:val="22"/>
        </w:rPr>
        <w:t xml:space="preserve">This policy is reviewed «annually», and sooner when HIC.4 exposure procedures change.</w:t>
      </w:r>
    </w:p>
    <w:p>
      <w:pPr>
        <w:pStyle w:val="Heading1"/>
        <w:spacing w:after="120" w:before="280"/>
      </w:pPr>
      <w:r>
        <w:t xml:space="preserve">8. Training and staff acknowledgement</w:t>
      </w:r>
    </w:p>
    <w:p>
      <w:pPr>
        <w:spacing w:after="140"/>
      </w:pPr>
      <w:r>
        <w:rPr>
          <w:sz w:val="22"/>
          <w:szCs w:val="22"/>
        </w:rPr>
        <w:t xml:space="preserve">All staff are informed of the occupational health programme, annual health check requirement, injury reporting and workplace violence measures at induction (HRM.2.a) and «once a year» after that.</w:t>
      </w:r>
    </w:p>
    <w:p>
      <w:pPr>
        <w:spacing w:after="140"/>
      </w:pPr>
      <w:r>
        <w:rPr>
          <w:sz w:val="22"/>
          <w:szCs w:val="22"/>
        </w:rPr>
        <w:t xml:space="preserve">Staff acknowledgement</w:t>
      </w:r>
    </w:p>
    <w:p>
      <w:pPr>
        <w:spacing w:after="140"/>
      </w:pPr>
      <w:r>
        <w:rPr>
          <w:sz w:val="22"/>
          <w:szCs w:val="22"/>
        </w:rPr>
        <w:t xml:space="preserve">I have read this Staff Well-Being and Occupational Health policy of «Hospital Name». I understand the annual health check requirement, how to report workplace injuries and the workplace violence prevention measures. I know that infection-specific exposure follows HIC.4.</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HRM.5.</w:t>
      </w:r>
    </w:p>
    <w:p>
      <w:pPr>
        <w:pStyle w:val="ListParagraph"/>
        <w:numPr>
          <w:ilvl w:val="0"/>
          <w:numId w:val="1"/>
        </w:numPr>
        <w:spacing w:after="60"/>
      </w:pPr>
      <w:r>
        <w:rPr>
          <w:sz w:val="22"/>
          <w:szCs w:val="22"/>
        </w:rPr>
        <w:t xml:space="preserve">Internal documents of «Hospital Name»: occupational health hazard register; annual health check forms; workplace injury records; workplace violence prevention and handling procedure; infection-control occupational response (HIC.4).</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HR office.</w:t>
      </w:r>
    </w:p>
    <w:p>
      <w:pPr>
        <w:spacing w:after="140"/>
      </w:pPr>
      <w:r>
        <w:rPr>
          <w:sz w:val="22"/>
          <w:szCs w:val="22"/>
        </w:rPr>
        <w:t xml:space="preserve">Copies issued to: department heads; all staff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HIC — Hospital Infection Control (NABH SHCO chapter 4)
HRM — Human Resource Management (NABH SHCO chapter 8)
NABH — National Accreditation Board for Hospitals and Healthcare Providers
OE — objective element
PEP — post-exposure prophylaxis
SHCO — Standards for Small Healthcare Organisations</w:t>
      </w:r>
    </w:p>
    <w:p>
      <w:pPr>
        <w:pStyle w:val="Heading1"/>
        <w:spacing w:after="120" w:before="280"/>
      </w:pPr>
      <w:r>
        <w:t xml:space="preserve">12. Traceability to NABH SHCO 3rd Edition HRM.5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well-being is promoted through identification of health problems of the staff, including occupational health hazards, in accordance with the organisation's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Staff well-being and occupational health hazard identification;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(register); department heads (report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checks of staff are done at least once a year and the findings/results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Annual health checks; Section 4 items 2 and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(schedule and file); Medical Superintendent (abnormal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provides treatment to staff who sustain workplace-related injuries.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Treatment for workplace-related injuries;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(ensure treatment); HR In-Charge / Personnel Officer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for preventing and handling workplace violence.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Workplace violence prevention and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measures); HR In-Charge / Personnel Officer (communicate and document)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HRM.5.a — Staff well-being is promoted through identification of health problems of the staff, including occupational health hazards, in accordance with the organisation's policy.</w:t>
      </w:r>
    </w:p>
    <w:p>
      <w:pPr>
        <w:pStyle w:val="ListParagraph"/>
        <w:numPr>
          <w:ilvl w:val="0"/>
          <w:numId w:val="1"/>
        </w:numPr>
        <w:spacing w:after="60"/>
      </w:pPr>
      <w:r>
        <w:rPr>
          <w:sz w:val="22"/>
          <w:szCs w:val="22"/>
        </w:rPr>
        <w:t xml:space="preserve">Occupational health policy aligned with organisation's hazard identification approach.</w:t>
      </w:r>
    </w:p>
    <w:p>
      <w:pPr>
        <w:pStyle w:val="ListParagraph"/>
        <w:numPr>
          <w:ilvl w:val="0"/>
          <w:numId w:val="1"/>
        </w:numPr>
        <w:spacing w:after="60"/>
      </w:pPr>
      <w:r>
        <w:rPr>
          <w:sz w:val="22"/>
          <w:szCs w:val="22"/>
        </w:rPr>
        <w:t xml:space="preserve">Occupational health hazard register updated annually or when new hazards identified.</w:t>
      </w:r>
    </w:p>
    <w:p>
      <w:pPr>
        <w:pStyle w:val="ListParagraph"/>
        <w:numPr>
          <w:ilvl w:val="0"/>
          <w:numId w:val="1"/>
        </w:numPr>
        <w:spacing w:after="60"/>
      </w:pPr>
      <w:r>
        <w:rPr>
          <w:sz w:val="22"/>
          <w:szCs w:val="22"/>
        </w:rPr>
        <w:t xml:space="preserve">Cross-reference to HIC.4 for infection-specific exposure (not duplicated here).</w:t>
      </w:r>
    </w:p>
    <w:p>
      <w:pPr>
        <w:pStyle w:val="Heading2"/>
        <w:spacing w:after="100" w:before="220"/>
      </w:pPr>
      <w:r>
        <w:t xml:space="preserve">HRM.5.b — Health checks of staff are done at least once a year and the findings/results are documented.</w:t>
      </w:r>
    </w:p>
    <w:p>
      <w:pPr>
        <w:pStyle w:val="ListParagraph"/>
        <w:numPr>
          <w:ilvl w:val="0"/>
          <w:numId w:val="1"/>
        </w:numPr>
        <w:spacing w:after="60"/>
      </w:pPr>
      <w:r>
        <w:rPr>
          <w:sz w:val="22"/>
          <w:szCs w:val="22"/>
        </w:rPr>
        <w:t xml:space="preserve">Annual health check schedule covering all active staff.</w:t>
      </w:r>
    </w:p>
    <w:p>
      <w:pPr>
        <w:pStyle w:val="ListParagraph"/>
        <w:numPr>
          <w:ilvl w:val="0"/>
          <w:numId w:val="1"/>
        </w:numPr>
        <w:spacing w:after="60"/>
      </w:pPr>
      <w:r>
        <w:rPr>
          <w:sz w:val="22"/>
          <w:szCs w:val="22"/>
        </w:rPr>
        <w:t xml:space="preserve">Standard health check form with findings for each staff member.</w:t>
      </w:r>
    </w:p>
    <w:p>
      <w:pPr>
        <w:pStyle w:val="ListParagraph"/>
        <w:numPr>
          <w:ilvl w:val="0"/>
          <w:numId w:val="1"/>
        </w:numPr>
        <w:spacing w:after="60"/>
      </w:pPr>
      <w:r>
        <w:rPr>
          <w:sz w:val="22"/>
          <w:szCs w:val="22"/>
        </w:rPr>
        <w:t xml:space="preserve">Follow-up and referral records for abnormal findings.</w:t>
      </w:r>
    </w:p>
    <w:p>
      <w:pPr>
        <w:pStyle w:val="Heading2"/>
        <w:spacing w:after="100" w:before="220"/>
      </w:pPr>
      <w:r>
        <w:t xml:space="preserve">HRM.5.c — Organisation provides treatment to staff who sustain workplace-related injuries.</w:t>
      </w:r>
    </w:p>
    <w:p>
      <w:pPr>
        <w:pStyle w:val="ListParagraph"/>
        <w:numPr>
          <w:ilvl w:val="0"/>
          <w:numId w:val="1"/>
        </w:numPr>
        <w:spacing w:after="60"/>
      </w:pPr>
      <w:r>
        <w:rPr>
          <w:sz w:val="22"/>
          <w:szCs w:val="22"/>
        </w:rPr>
        <w:t xml:space="preserve">Workplace injury reporting and treatment procedure.</w:t>
      </w:r>
    </w:p>
    <w:p>
      <w:pPr>
        <w:pStyle w:val="ListParagraph"/>
        <w:numPr>
          <w:ilvl w:val="0"/>
          <w:numId w:val="1"/>
        </w:numPr>
        <w:spacing w:after="60"/>
      </w:pPr>
      <w:r>
        <w:rPr>
          <w:sz w:val="22"/>
          <w:szCs w:val="22"/>
        </w:rPr>
        <w:t xml:space="preserve">Injury records with first aid, medical assessment and treatment provided.</w:t>
      </w:r>
    </w:p>
    <w:p>
      <w:pPr>
        <w:pStyle w:val="ListParagraph"/>
        <w:numPr>
          <w:ilvl w:val="0"/>
          <w:numId w:val="1"/>
        </w:numPr>
        <w:spacing w:after="60"/>
      </w:pPr>
      <w:r>
        <w:rPr>
          <w:sz w:val="22"/>
          <w:szCs w:val="22"/>
        </w:rPr>
        <w:t xml:space="preserve">Return-to-work assessment records.</w:t>
      </w:r>
    </w:p>
    <w:p>
      <w:pPr>
        <w:pStyle w:val="Heading2"/>
        <w:spacing w:after="100" w:before="220"/>
      </w:pPr>
      <w:r>
        <w:t xml:space="preserve">HRM.5.d — The organisation has measures in place for preventing and handling workplace violence.</w:t>
      </w:r>
    </w:p>
    <w:p>
      <w:pPr>
        <w:pStyle w:val="ListParagraph"/>
        <w:numPr>
          <w:ilvl w:val="0"/>
          <w:numId w:val="1"/>
        </w:numPr>
        <w:spacing w:after="60"/>
      </w:pPr>
      <w:r>
        <w:rPr>
          <w:sz w:val="22"/>
          <w:szCs w:val="22"/>
        </w:rPr>
        <w:t xml:space="preserve">Workplace violence prevention and handling procedure.</w:t>
      </w:r>
    </w:p>
    <w:p>
      <w:pPr>
        <w:pStyle w:val="ListParagraph"/>
        <w:numPr>
          <w:ilvl w:val="0"/>
          <w:numId w:val="1"/>
        </w:numPr>
        <w:spacing w:after="60"/>
      </w:pPr>
      <w:r>
        <w:rPr>
          <w:sz w:val="22"/>
          <w:szCs w:val="22"/>
        </w:rPr>
        <w:t xml:space="preserve">Staff training records on de-escalation and violence response.</w:t>
      </w:r>
    </w:p>
    <w:p>
      <w:pPr>
        <w:pStyle w:val="ListParagraph"/>
        <w:numPr>
          <w:ilvl w:val="0"/>
          <w:numId w:val="1"/>
        </w:numPr>
        <w:spacing w:after="60"/>
      </w:pPr>
      <w:r>
        <w:rPr>
          <w:sz w:val="22"/>
          <w:szCs w:val="22"/>
        </w:rPr>
        <w:t xml:space="preserve">Incident documentation and post-event review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«HRM/POL/05»  |  Controlled document  |  Staff Well-Being and Occupational Health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2026-08-19T17:01:39.568Z</dcterms:created>
  <dcterms:modified xsi:type="dcterms:W3CDTF">2026-08-19T17:01:39.568Z</dcterms:modified>
</cp:coreProperties>
</file>

<file path=docProps/custom.xml><?xml version="1.0" encoding="utf-8"?>
<Properties xmlns="http://schemas.openxmlformats.org/officeDocument/2006/custom-properties" xmlns:vt="http://schemas.openxmlformats.org/officeDocument/2006/docPropsVTypes"/>
</file>