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Transfusion of Blood and Blood Components</w:t>
      </w:r>
    </w:p>
    <w:p>
      <w:pPr>
        <w:spacing w:after="300"/>
        <w:jc w:val="center"/>
      </w:pPr>
      <w:r>
        <w:rPr>
          <w:i/>
          <w:iCs/>
          <w:sz w:val="20"/>
          <w:szCs w:val="20"/>
        </w:rPr>
        <w:t xml:space="preserve">(Mandatory System Documentation as per NABH SHCO 3rd Edition — COP.5.a, COP.5.b, COP.5.c, COP.5.d, COP.5.e, COP.5.f)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HMP/COP/POL-5</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COP.5.a, COP.5.b, COP.5.c, COP.5.d, COP.5.e, COP.5.f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COP.5.a</w:t>
            </w:r>
          </w:p>
        </w:tc>
        <w:tc>
          <w:tcPr>
            <w:tcW w:type="pct" w:w="45%"/>
          </w:tcPr>
          <w:p>
            <w:r>
              <w:rPr>
                <w:b w:val="false"/>
                <w:bCs w:val="false"/>
                <w:sz w:val="18"/>
                <w:szCs w:val="18"/>
              </w:rPr>
              <w:t xml:space="preserve">Transfusion services are commensurate with the services provided by the organization, and are governed by the applicable laws and regulations</w:t>
            </w:r>
          </w:p>
        </w:tc>
        <w:tc>
          <w:tcPr>
            <w:tcW w:type="pct" w:w="20%"/>
          </w:tcPr>
          <w:p>
            <w:r>
              <w:rPr>
                <w:b w:val="false"/>
                <w:bCs w:val="false"/>
                <w:sz w:val="18"/>
                <w:szCs w:val="18"/>
              </w:rPr>
              <w:t xml:space="preserve">Steps 1, 7</w:t>
            </w:r>
          </w:p>
        </w:tc>
        <w:tc>
          <w:tcPr>
            <w:tcW w:type="pct" w:w="20%"/>
          </w:tcPr>
          <w:p>
            <w:r>
              <w:rPr>
                <w:b w:val="false"/>
                <w:bCs w:val="false"/>
                <w:sz w:val="18"/>
                <w:szCs w:val="18"/>
              </w:rPr>
              <w:t xml:space="preserve">Person in charge of transfusion services keeps the scope current and holds licence evidence; head of the institution is accountable that transfusion matches defined services and that every unit is from a licensed source</w:t>
            </w:r>
          </w:p>
        </w:tc>
      </w:tr>
      <w:tr>
        <w:tc>
          <w:tcPr>
            <w:tcW w:type="pct" w:w="15%"/>
          </w:tcPr>
          <w:p>
            <w:r>
              <w:rPr>
                <w:b w:val="false"/>
                <w:bCs w:val="false"/>
                <w:sz w:val="18"/>
                <w:szCs w:val="18"/>
              </w:rPr>
              <w:t xml:space="preserve">COP.5.b</w:t>
            </w:r>
          </w:p>
        </w:tc>
        <w:tc>
          <w:tcPr>
            <w:tcW w:type="pct" w:w="45%"/>
          </w:tcPr>
          <w:p>
            <w:r>
              <w:rPr>
                <w:b w:val="false"/>
                <w:bCs w:val="false"/>
                <w:sz w:val="18"/>
                <w:szCs w:val="18"/>
              </w:rPr>
              <w:t xml:space="preserve">Transfusion of blood and blood components is done safely</w:t>
            </w:r>
          </w:p>
        </w:tc>
        <w:tc>
          <w:tcPr>
            <w:tcW w:type="pct" w:w="20%"/>
          </w:tcPr>
          <w:p>
            <w:r>
              <w:rPr>
                <w:b w:val="false"/>
                <w:bCs w:val="false"/>
                <w:sz w:val="18"/>
                <w:szCs w:val="18"/>
              </w:rPr>
              <w:t xml:space="preserve">Steps 2, 7</w:t>
            </w:r>
          </w:p>
        </w:tc>
        <w:tc>
          <w:tcPr>
            <w:tcW w:type="pct" w:w="20%"/>
          </w:tcPr>
          <w:p>
            <w:r>
              <w:rPr>
                <w:b w:val="false"/>
                <w:bCs w:val="false"/>
                <w:sz w:val="18"/>
                <w:szCs w:val="18"/>
              </w:rPr>
              <w:t xml:space="preserve">Staff who administer transfusion perform the bedside identity check, hang only a matched unit, monitor, stop on suspected reaction, and place the used bag into the hospital-wide waste stream; clinicians remain responsible for the decision to transfuse; laboratory-services policy owns compatibility testing; HIC.2 owns hand hygiene and PPE at administration; HIC.3 owns the waste stream after the bag is down; quality or accreditation coordinator audits</w:t>
            </w:r>
          </w:p>
        </w:tc>
      </w:tr>
      <w:tr>
        <w:tc>
          <w:tcPr>
            <w:tcW w:type="pct" w:w="15%"/>
          </w:tcPr>
          <w:p>
            <w:r>
              <w:rPr>
                <w:b w:val="false"/>
                <w:bCs w:val="false"/>
                <w:sz w:val="18"/>
                <w:szCs w:val="18"/>
              </w:rPr>
              <w:t xml:space="preserve">COP.5.c</w:t>
            </w:r>
          </w:p>
        </w:tc>
        <w:tc>
          <w:tcPr>
            <w:tcW w:type="pct" w:w="45%"/>
          </w:tcPr>
          <w:p>
            <w:r>
              <w:rPr>
                <w:b w:val="false"/>
                <w:bCs w:val="false"/>
                <w:sz w:val="18"/>
                <w:szCs w:val="18"/>
              </w:rPr>
              <w:t xml:space="preserve">Blood and blood components are used rationally</w:t>
            </w:r>
          </w:p>
        </w:tc>
        <w:tc>
          <w:tcPr>
            <w:tcW w:type="pct" w:w="20%"/>
          </w:tcPr>
          <w:p>
            <w:r>
              <w:rPr>
                <w:b w:val="false"/>
                <w:bCs w:val="false"/>
                <w:sz w:val="18"/>
                <w:szCs w:val="18"/>
              </w:rPr>
              <w:t xml:space="preserve">Steps 3, 2, 7</w:t>
            </w:r>
          </w:p>
        </w:tc>
        <w:tc>
          <w:tcPr>
            <w:tcW w:type="pct" w:w="20%"/>
          </w:tcPr>
          <w:p>
            <w:r>
              <w:rPr>
                <w:b w:val="false"/>
                <w:bCs w:val="false"/>
                <w:sz w:val="18"/>
                <w:szCs w:val="18"/>
              </w:rPr>
              <w:t xml:space="preserve">Requesting clinicians record the indication and consider alternatives; the person in charge of transfusion services holds the indication list and supports refusal of issue without an indication; quality or accreditation coordinator audits</w:t>
            </w:r>
          </w:p>
        </w:tc>
      </w:tr>
      <w:tr>
        <w:tc>
          <w:tcPr>
            <w:tcW w:type="pct" w:w="15%"/>
          </w:tcPr>
          <w:p>
            <w:r>
              <w:rPr>
                <w:b w:val="false"/>
                <w:bCs w:val="false"/>
                <w:sz w:val="18"/>
                <w:szCs w:val="18"/>
              </w:rPr>
              <w:t xml:space="preserve">COP.5.d</w:t>
            </w:r>
          </w:p>
        </w:tc>
        <w:tc>
          <w:tcPr>
            <w:tcW w:type="pct" w:w="45%"/>
          </w:tcPr>
          <w:p>
            <w:r>
              <w:rPr>
                <w:b w:val="false"/>
                <w:bCs w:val="false"/>
                <w:sz w:val="18"/>
                <w:szCs w:val="18"/>
              </w:rPr>
              <w:t xml:space="preserve">Informed consent is obtained for transfusion of blood and blood products, and for donation</w:t>
            </w:r>
          </w:p>
        </w:tc>
        <w:tc>
          <w:tcPr>
            <w:tcW w:type="pct" w:w="20%"/>
          </w:tcPr>
          <w:p>
            <w:r>
              <w:rPr>
                <w:b w:val="false"/>
                <w:bCs w:val="false"/>
                <w:sz w:val="18"/>
                <w:szCs w:val="18"/>
              </w:rPr>
              <w:t xml:space="preserve">Steps 4, 7</w:t>
            </w:r>
          </w:p>
        </w:tc>
        <w:tc>
          <w:tcPr>
            <w:tcW w:type="pct" w:w="20%"/>
          </w:tcPr>
          <w:p>
            <w:r>
              <w:rPr>
                <w:b w:val="false"/>
                <w:bCs w:val="false"/>
                <w:sz w:val="18"/>
                <w:szCs w:val="18"/>
              </w:rPr>
              <w:t xml:space="preserve">Clinicians obtain transfusion consent; donation consent is obtained before collection on this site or remains with the licensed centre if donation is not performed here; PRE will own general consent method when drafted; quality or accreditation coordinator audits</w:t>
            </w:r>
          </w:p>
        </w:tc>
      </w:tr>
      <w:tr>
        <w:tc>
          <w:tcPr>
            <w:tcW w:type="pct" w:w="15%"/>
          </w:tcPr>
          <w:p>
            <w:r>
              <w:rPr>
                <w:b w:val="false"/>
                <w:bCs w:val="false"/>
                <w:sz w:val="18"/>
                <w:szCs w:val="18"/>
              </w:rPr>
              <w:t xml:space="preserve">COP.5.e</w:t>
            </w:r>
          </w:p>
        </w:tc>
        <w:tc>
          <w:tcPr>
            <w:tcW w:type="pct" w:w="45%"/>
          </w:tcPr>
          <w:p>
            <w:r>
              <w:rPr>
                <w:b w:val="false"/>
                <w:bCs w:val="false"/>
                <w:sz w:val="18"/>
                <w:szCs w:val="18"/>
              </w:rPr>
              <w:t xml:space="preserve">Blood/blood components are available for use in emergency situations within a defined time frame</w:t>
            </w:r>
          </w:p>
        </w:tc>
        <w:tc>
          <w:tcPr>
            <w:tcW w:type="pct" w:w="20%"/>
          </w:tcPr>
          <w:p>
            <w:r>
              <w:rPr>
                <w:b w:val="false"/>
                <w:bCs w:val="false"/>
                <w:sz w:val="18"/>
                <w:szCs w:val="18"/>
              </w:rPr>
              <w:t xml:space="preserve">Steps 5, 2, 7</w:t>
            </w:r>
          </w:p>
        </w:tc>
        <w:tc>
          <w:tcPr>
            <w:tcW w:type="pct" w:w="20%"/>
          </w:tcPr>
          <w:p>
            <w:r>
              <w:rPr>
                <w:b w:val="false"/>
                <w:bCs w:val="false"/>
                <w:sz w:val="18"/>
                <w:szCs w:val="18"/>
              </w:rPr>
              <w:t xml:space="preserve">Person in charge of transfusion services holds the defined time and the arrangement; staff on duty start the emergency pathway and still perform the bedside match; treating clinicians are told if the time will be missed; quality or accreditation coordinator audits</w:t>
            </w:r>
          </w:p>
        </w:tc>
      </w:tr>
      <w:tr>
        <w:tc>
          <w:tcPr>
            <w:tcW w:type="pct" w:w="15%"/>
          </w:tcPr>
          <w:p>
            <w:r>
              <w:rPr>
                <w:b w:val="false"/>
                <w:bCs w:val="false"/>
                <w:sz w:val="18"/>
                <w:szCs w:val="18"/>
              </w:rPr>
              <w:t xml:space="preserve">COP.5.f</w:t>
            </w:r>
          </w:p>
        </w:tc>
        <w:tc>
          <w:tcPr>
            <w:tcW w:type="pct" w:w="45%"/>
          </w:tcPr>
          <w:p>
            <w:r>
              <w:rPr>
                <w:b w:val="false"/>
                <w:bCs w:val="false"/>
                <w:sz w:val="18"/>
                <w:szCs w:val="18"/>
              </w:rPr>
              <w:t xml:space="preserve">Post-transfusion form is collected, reactions if any identified and are analysed for corrective and preventive actions</w:t>
            </w:r>
          </w:p>
        </w:tc>
        <w:tc>
          <w:tcPr>
            <w:tcW w:type="pct" w:w="20%"/>
          </w:tcPr>
          <w:p>
            <w:r>
              <w:rPr>
                <w:b w:val="false"/>
                <w:bCs w:val="false"/>
                <w:sz w:val="18"/>
                <w:szCs w:val="18"/>
              </w:rPr>
              <w:t xml:space="preserve">Steps 6, 2, 7</w:t>
            </w:r>
          </w:p>
        </w:tc>
        <w:tc>
          <w:tcPr>
            <w:tcW w:type="pct" w:w="20%"/>
          </w:tcPr>
          <w:p>
            <w:r>
              <w:rPr>
                <w:b w:val="false"/>
                <w:bCs w:val="false"/>
                <w:sz w:val="18"/>
                <w:szCs w:val="18"/>
              </w:rPr>
              <w:t xml:space="preserve">Staff who administer transfusion complete the form and identify suspected reactions; the named forum analyses and assigns actions;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NACO</w:t>
            </w:r>
          </w:p>
        </w:tc>
        <w:tc>
          <w:tcPr>
            <w:tcW w:type="pct" w:w="75%"/>
          </w:tcPr>
          <w:p>
            <w:r>
              <w:rPr>
                <w:b w:val="false"/>
                <w:bCs w:val="false"/>
                <w:sz w:val="18"/>
                <w:szCs w:val="18"/>
              </w:rPr>
              <w:t xml:space="preserve">National AIDS Control Organisation</w:t>
            </w:r>
          </w:p>
        </w:tc>
      </w:tr>
      <w:tr>
        <w:tc>
          <w:tcPr>
            <w:tcW w:type="pct" w:w="25%"/>
          </w:tcPr>
          <w:p>
            <w:r>
              <w:rPr>
                <w:b w:val="false"/>
                <w:bCs w:val="false"/>
                <w:sz w:val="18"/>
                <w:szCs w:val="18"/>
              </w:rPr>
              <w:t xml:space="preserve">NBTC</w:t>
            </w:r>
          </w:p>
        </w:tc>
        <w:tc>
          <w:tcPr>
            <w:tcW w:type="pct" w:w="75%"/>
          </w:tcPr>
          <w:p>
            <w:r>
              <w:rPr>
                <w:b w:val="false"/>
                <w:bCs w:val="false"/>
                <w:sz w:val="18"/>
                <w:szCs w:val="18"/>
              </w:rPr>
              <w:t xml:space="preserve">National Blood Transfusion Council</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PPE and SOP.</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provides transfusion of blood and blood components as a clinical service that matches the healthcare services it has defined, under the laws that govern blood banks and blood centres, and how that service is run so that a unit is used for a recorded indication, given to the patient it was issued for, available in an emergency within a time the hospital has defined, and followed by a form that captures a reaction if one occurs.
The chapter intent is that use of blood and blood components is guided by written guidance and applicable laws and regulations. A transfusion hung from habit, a unit that cannot be found when a bleeding patient needs it, or a reaction that is treated and never analysed, is not that service. This document is the process that makes the intent operational at the request, at the bedside, and after the bag is down.
Blood and blood components are not ordinary ward stock. Each unit is a donated human tissue, issued under a licensed blood-bank system, and capable of transmitting infection or of causing an acute reaction that is not a side-effect of a drug. This document exists because that combination of gift, licence and harm is not managed by hoping the next shift is careful.</w:t>
      </w:r>
    </w:p>
    <w:p>
      <w:pPr>
        <w:pStyle w:val="Heading1"/>
        <w:spacing w:after="150" w:before="300"/>
      </w:pPr>
      <w:r>
        <w:t xml:space="preserve">2. Scope</w:t>
      </w:r>
    </w:p>
    <w:p>
      <w:pPr>
        <w:spacing w:after="150"/>
      </w:pPr>
      <w:r>
        <w:rPr>
          <w:sz w:val="22"/>
          <w:szCs w:val="22"/>
        </w:rPr>
        <w:t xml:space="preserve">This policy applies to every location at HMP Foundation in which blood or a blood component is requested, issued, transported, stored pending transfusion, administered, or followed after administration: the in-patient wards, the emergency area, the operation theatre and recovery, intensive and high-dependency areas where they exist, the labour room, day-care, and any other clinical area in which a transfusion is given. It binds the clinicians who prescribe, the staff who collect the pre-transfusion sample, the staff who collect a unit from the issuing blood centre, the staff who administer the unit and monitor the recipient, the staff who obtain consent for transfusion and for donation, and whoever operates the emergency-availability arrangement.
It covers: alignment of transfusion services with the healthcare services the hospital has defined, and compliance with the laws that govern blood banks and blood centres; safe transfusion of blood and blood components; rational use; informed consent for transfusion and for donation; availability of blood and blood components in emergency situations within a defined time frame; and collection of the post-transfusion form, identification of reactions, and analysis for corrective and preventive action.
Boundaries with other policies of HMP Foundation:
- The written definition of the healthcare services, including whether transfusion is a defined service and which specialties it stands behind, is governed by the definition-and-display policy of HMP Foundation (AAC.1). This policy aligns the transfusion service to that definition; it does not rewrite the service directory.
- Laboratory testing of a specimen — grouping, screening, compatibility testing as laboratory work, critical laboratory results to the treating clinician, and the specimen pathway of requisition, collection, identification, handling, transport, processing and disposal — is governed by the laboratory-services policy of HMP Foundation (AAC.4). This policy owns the clinical transfusion: the decision to transfuse, the bedside identity check, administration, monitoring, emergency availability of a unit, and the reaction pathway. A compatibility report is a laboratory result; hanging the unit is this document.
- Used blood bags, tubing and related transfusion waste enter the hospital-wide biomedical-waste programme governed by the support-services infection-control policy of HMP Foundation (HIC.3). This policy requires that a used bag is not left on a trolley, in a sink or in general waste; it does not restate colour categories, storage times, or common-treatment-facility handover.
- Hand hygiene, standard and transmission-based precautions, personal protective equipment and safe injection at the point of administration are governed by the infection-prevention-and-control-practices policy of HMP Foundation (HIC.2). This policy requires those practices at transfusion; it does not rewrite them.
- Two identifiers at the point of care are governed by the uniform-care policy of HMP Foundation (COP.1). This policy requires those identifiers at the bedside before a unit is hung; it does not choose or generate them.
- The unique identification number is generated at registration under the registration, admission and transfer policy of HMP Foundation (AAC.2). This policy requires that number on the request, the sample, the issue slip and the transfusion record; it does not issue the number.
- Medication — prescribing, dispensing, administration and monitoring of drugs — will be governed by the medication policies of HMP Foundation (MOM, not yet drafted). Blood and blood components are not managed as ward-stock medicines under that process. This document owns the transfusion method. When MOM is drafted it must not restate that method.
- Informed-consent method in general — how consent is explained, recorded and refused — will be governed by the patient-rights policies of HMP Foundation (PRE, not yet drafted). This policy owns that consent is obtained for transfusion of blood and blood products and for donation, before the act.
- The medical record itself is governed by the information-management policies of HMP Foundation. This policy owns the transfusion content written into that record.</w:t>
      </w:r>
    </w:p>
    <w:p>
      <w:pPr>
        <w:pStyle w:val="Heading1"/>
        <w:spacing w:after="150" w:before="300"/>
      </w:pPr>
      <w:r>
        <w:t xml:space="preserve">3. Policy Statement</w:t>
      </w:r>
    </w:p>
    <w:p>
      <w:pPr>
        <w:spacing w:after="150"/>
      </w:pPr>
      <w:r>
        <w:rPr>
          <w:sz w:val="22"/>
          <w:szCs w:val="22"/>
        </w:rPr>
        <w:t xml:space="preserve">HMP Foundation provides transfusion services commensurate with the healthcare services it has defined, and governs those services by the applicable laws and regulations, including the licensing of the blood bank or blood centre from which every unit is issued.
HMP Foundation transfuses blood and blood components safely. A unit is hung only after the recipient is identified at the bedside with the hospital's two identifiers, the unit is matched to that recipient, and the person who will administer it has inspected the bag. A unit issued for one patient is not given to another.
HMP Foundation uses blood and blood components rationally. A unit is requested for a recorded clinical indication. A transfusion is not a default because a number looks low.
HMP Foundation obtains informed consent for transfusion of blood and blood products, and for donation, before the act except where a documented emergency makes prior consent impossible, in which case the record states why and consent is completed as soon as the emergency allows.
HMP Foundation makes blood and blood components available for use in emergency situations within a defined time frame. The time is this hospital's definition. Actual time is compared with defined time.
HMP Foundation collects the post-transfusion form, identifies reactions, and analyses them for corrective and preventive action. A reaction that is treated and not recorded is a defect.</w:t>
      </w:r>
    </w:p>
    <w:p>
      <w:pPr>
        <w:pStyle w:val="Heading1"/>
        <w:spacing w:after="150" w:before="300"/>
      </w:pPr>
      <w:r>
        <w:t xml:space="preserve">4. Procedure</w:t>
      </w:r>
    </w:p>
    <w:p>
      <w:pPr>
        <w:spacing w:after="90" w:before="240"/>
      </w:pPr>
      <w:r>
        <w:rPr>
          <w:b/>
          <w:bCs/>
          <w:sz w:val="23"/>
          <w:szCs w:val="23"/>
        </w:rPr>
        <w:t xml:space="preserve">1. Transfusion services commensurate with defined services, and governed by law (COP.5.a)</w:t>
      </w:r>
    </w:p>
    <w:p>
      <w:pPr>
        <w:spacing w:after="120"/>
      </w:pPr>
      <w:r>
        <w:rPr>
          <w:sz w:val="22"/>
          <w:szCs w:val="22"/>
        </w:rPr>
        <w:t xml:space="preserve">Transfusion services at HMP Foundation are commensurate with the healthcare services the hospital provides, and are governed by the applicable laws and regulations.</w:t>
      </w:r>
    </w:p>
    <w:p>
      <w:pPr>
        <w:spacing w:after="120"/>
      </w:pPr>
      <w:r>
        <w:rPr>
          <w:sz w:val="22"/>
          <w:szCs w:val="22"/>
        </w:rPr>
        <w:t xml:space="preserve">The transfusion scope of services lists the components this hospital uses, the clinical areas in which transfusion is performed, the hours during which a unit can be obtained, and whether supply is from a licensed in-house blood centre, from a documented arrangement with a licensed blood bank, or both. That scope is held at [Hospital to define — the transfusion scope of services, and where it is held]. Alignment is with the current service directory under the definition-and-display policy of HMP Foundation. A specialty that depends on transfusion is backed by this service; a component no defined service uses is not held out.</w:t>
      </w:r>
    </w:p>
    <w:p>
      <w:pPr>
        <w:spacing w:after="120"/>
      </w:pPr>
      <w:r>
        <w:rPr>
          <w:sz w:val="22"/>
          <w:szCs w:val="22"/>
        </w:rPr>
        <w:t xml:space="preserve">Every unit transfused at HMP Foundation is issued by a blood bank or blood centre licensed under the Drugs and Cosmetics Act, 1940 and the Drugs and Cosmetics Rules. The licensed source used by this hospital, and the current licence evidence held, are [Hospital to define — the licensed blood bank or blood centre from which units are issued, and where the current licence evidence is held]. An unlicensed source is not used.</w:t>
      </w:r>
    </w:p>
    <w:p>
      <w:pPr>
        <w:spacing w:after="120"/>
      </w:pPr>
      <w:r>
        <w:rPr>
          <w:sz w:val="22"/>
          <w:szCs w:val="22"/>
        </w:rPr>
        <w:t xml:space="preserve">The National Blood Policy and the National Blood Transfusion Council / National AIDS Control Organisation Standards for Blood Banks and Blood Transfusion Services (chapter references 13, 40 and 55 of this chapter) are the professional standards against which the licensed source is expected to operate. This hospital does not itself rewrite those standards; it requires that the source it uses is licensed and that the clinical transfusion on this site follows this document.</w:t>
      </w:r>
    </w:p>
    <w:p>
      <w:pPr>
        <w:spacing w:after="120"/>
      </w:pPr>
      <w:r>
        <w:rPr>
          <w:sz w:val="22"/>
          <w:szCs w:val="22"/>
        </w:rPr>
        <w:t xml:space="preserve">This step does not rewrite the service directory and does not operate the blood bank's internal manufacturing process.</w:t>
      </w:r>
    </w:p>
    <w:p>
      <w:pPr>
        <w:spacing w:after="90" w:before="240"/>
      </w:pPr>
      <w:r>
        <w:rPr>
          <w:b/>
          <w:bCs/>
          <w:sz w:val="23"/>
          <w:szCs w:val="23"/>
        </w:rPr>
        <w:t xml:space="preserve">2. Safe transfusion of blood and blood components (COP.5.b, COP.5.c, COP.5.e, COP.5.f)</w:t>
      </w:r>
    </w:p>
    <w:p>
      <w:pPr>
        <w:spacing w:after="120"/>
      </w:pPr>
      <w:r>
        <w:rPr>
          <w:sz w:val="22"/>
          <w:szCs w:val="22"/>
        </w:rPr>
        <w:t xml:space="preserve">Transfusion of blood and blood components is done safely. This step is the documented-evidence anchor of a requirement the standard asterisks: an assessor will ask how a unit reaches the correct vein, and the answer must be a written method staff apply at the bedside, not a claim that the blood bank will have got the group right.</w:t>
      </w:r>
    </w:p>
    <w:p>
      <w:pPr>
        <w:spacing w:after="120"/>
      </w:pPr>
      <w:r>
        <w:rPr>
          <w:sz w:val="22"/>
          <w:szCs w:val="22"/>
        </w:rPr>
        <w:t xml:space="preserve">A request for transfusion carries at least the patient's unique identification number, the patient's name, the component requested, the clinical indication (completed under step 3), the date and time, and the requesting clinician. Further content of the request is [Hospital to define — the transfusion-request content]. A unit is not issued against a nameless verbal request except in the documented emergency pathway at step 5, and that emergency issue is converted to a request as soon as the crisis allows.</w:t>
      </w:r>
    </w:p>
    <w:p>
      <w:pPr>
        <w:spacing w:after="120"/>
      </w:pPr>
      <w:r>
        <w:rPr>
          <w:sz w:val="22"/>
          <w:szCs w:val="22"/>
        </w:rPr>
        <w:t xml:space="preserve">The pre-transfusion sample is collected and identified under the laboratory specimen pathway of HMP Foundation. This step does not rewrite collection, labelling at the chair, or rejection of an unlabelled tube. It requires that a compatibility sample exists before a non-emergency unit is issued, and that the unique identification number on the sample is the number on the request. Compatibility testing is laboratory work owned by the laboratory-services policy; the report that the unit is compatible is used here, not produced here.</w:t>
      </w:r>
    </w:p>
    <w:p>
      <w:pPr>
        <w:spacing w:after="120"/>
      </w:pPr>
      <w:r>
        <w:rPr>
          <w:sz w:val="22"/>
          <w:szCs w:val="22"/>
        </w:rPr>
        <w:t xml:space="preserve">Issue, transport and storage pending transfusion follow written guidance. Who collects the unit from the issuing source, how it is transported, and the storage conditions while it waits to be hung, are [Hospital to define — who collects a unit, how it is transported, and the storage conditions pending transfusion]. A unit is not stored in a ward domestic refrigerator, on a windowsill, or in a theatre warmer that is not designated for that component. Storage and handling of blood components matter because a unit that has been warmed, frozen, or left at uncontrolled room temperature is not the component the blood bank released — chapter reference 21 of this chapter records that perspective; this hospital's own conditions are the ones staff follow, and they are written here rather than borrowed as a silent table. A unit whose integrity is in doubt — leaking, clotted, discoloured, past the expiry on the label, or stored outside the written conditions — is not transfused; it is returned to the issuing source with the reason, and the event is recorded.</w:t>
      </w:r>
    </w:p>
    <w:p>
      <w:pPr>
        <w:spacing w:after="120"/>
      </w:pPr>
      <w:r>
        <w:rPr>
          <w:sz w:val="22"/>
          <w:szCs w:val="22"/>
        </w:rPr>
        <w:t xml:space="preserve">At the bedside, before the unit is hung, the person who will administer it performs an identity check in the presence of the patient (or of the person who can confirm identity if the patient cannot). The check uses the two identifiers required by the uniform-care policy of HMP Foundation, matched to the issue slip and to the bag label. The unique identification number is one of those identifiers when the hospital's pair includes it. The check is not performed at the nursing station, not performed against a bed number alone, and not performed by reading the bag and assuming the bed. The reason this check exists, and why it is the safety step rather than the laboratory's grouping, is that a correctly grouped unit given to the wrong patient is an ABO-incompatible transfusion in everything but the paperwork. The blood bank cannot see the vein. The bedside can. A unit whose identifiers do not match is not hung; it is returned, and the mismatch is treated as an incident, not as a paperwork nuisance.</w:t>
      </w:r>
    </w:p>
    <w:p>
      <w:pPr>
        <w:spacing w:after="120"/>
      </w:pPr>
      <w:r>
        <w:rPr>
          <w:sz w:val="22"/>
          <w:szCs w:val="22"/>
        </w:rPr>
        <w:t xml:space="preserve">The common error is the workaround that follows a busy round: two bags on a trolley, a nurse who "knows" which bed is which, a check done against the bed card from the doorway, or a second unit hung because the first was for "the next patient" and the labels were similar. That workaround is how a right unit becomes a wrong-patient transfusion. It is forbidden here. One unit, one patient, identifiers matched, then the spike. A second person checking, if this hospital requires it, is [Hospital to define — whether a second-person check is required at the bedside, and by whom]. This document requires the identity match; it does not invent a two-person rule as a national mandate.</w:t>
      </w:r>
    </w:p>
    <w:p>
      <w:pPr>
        <w:spacing w:after="120"/>
      </w:pPr>
      <w:r>
        <w:rPr>
          <w:sz w:val="22"/>
          <w:szCs w:val="22"/>
        </w:rPr>
        <w:t xml:space="preserve">Administration is performed by [Hospital to define — who may administer a transfusion]. Hand hygiene, gloves and safe handling of the spike and tubing follow the infection-prevention-and-control-practices policy of HMP Foundation; they are not restated here. The giving set used for blood is [Hospital to define — the giving set used for blood and blood components]. Medication is not added to the bag. The rate and any warming are [Hospital to define — the administration rate and any blood-warming method], set so that this document does not convert a clinical rate into a numbered mandate.</w:t>
      </w:r>
    </w:p>
    <w:p>
      <w:pPr>
        <w:spacing w:after="120"/>
      </w:pPr>
      <w:r>
        <w:rPr>
          <w:sz w:val="22"/>
          <w:szCs w:val="22"/>
        </w:rPr>
        <w:t xml:space="preserve">Monitoring during and after transfusion is [Hospital to define — the observations recorded during and after transfusion, and when they are taken]. A patient who is transfused unobserved is a patient whose first sign of a reaction will be found when it is too late to stop the rest of the bag. The transfusion is recorded against the unique identification number: component, unit number, start and stop time, volume, the person who administered, the identity check, and the observations. If a reaction is suspected, the transfusion is stopped, the set is not discarded until the reaction work-up is decided, the treating clinician is called, and the event enters step 6.</w:t>
      </w:r>
    </w:p>
    <w:p>
      <w:pPr>
        <w:spacing w:after="120"/>
      </w:pPr>
      <w:r>
        <w:rPr>
          <w:sz w:val="22"/>
          <w:szCs w:val="22"/>
        </w:rPr>
        <w:t xml:space="preserve">After transfusion, the used bag and tubing enter the hospital-wide biomedical-waste programme of HMP Foundation. This step requires that they enter that programme and are not left in a sink, a general bin, or a theatre bucket. Colour categories, internal transport and handover to the common treatment facility remain in the support-services infection-control policy; they are not rewritten here.</w:t>
      </w:r>
    </w:p>
    <w:p>
      <w:pPr>
        <w:spacing w:after="120"/>
      </w:pPr>
      <w:r>
        <w:rPr>
          <w:sz w:val="22"/>
          <w:szCs w:val="22"/>
        </w:rPr>
        <w:t xml:space="preserve">The written safe-transfusion guidance is held at [Hospital to define — where the written safe-transfusion guidance is held].</w:t>
      </w:r>
    </w:p>
    <w:p>
      <w:pPr>
        <w:spacing w:after="90" w:before="240"/>
      </w:pPr>
      <w:r>
        <w:rPr>
          <w:b/>
          <w:bCs/>
          <w:sz w:val="23"/>
          <w:szCs w:val="23"/>
        </w:rPr>
        <w:t xml:space="preserve">3. Rational use of blood and blood components (COP.5.c)</w:t>
      </w:r>
    </w:p>
    <w:p>
      <w:pPr>
        <w:spacing w:after="120"/>
      </w:pPr>
      <w:r>
        <w:rPr>
          <w:sz w:val="22"/>
          <w:szCs w:val="22"/>
        </w:rPr>
        <w:t xml:space="preserve">Blood and blood components are used rationally. This step is the documented-evidence anchor of that asterisked requirement. A safe transfusion of a unit the patient did not need is still a unit of risk given without a reason: transfusion-transmitted infection, circulatory overload, acute lung injury, alloimmunisation, and the consumption of a donated unit that another patient may need. Rational use is not a courtesy to the blood bank. It is the clinical decision that precedes safety at the bedside.</w:t>
      </w:r>
    </w:p>
    <w:p>
      <w:pPr>
        <w:spacing w:after="120"/>
      </w:pPr>
      <w:r>
        <w:rPr>
          <w:sz w:val="22"/>
          <w:szCs w:val="22"/>
        </w:rPr>
        <w:t xml:space="preserve">A request under step 2 is not complete without a recorded clinical indication. The indication is written in the record before the unit is issued, except on the documented emergency pathway at step 5, in which case the indication is recorded as soon as the emergency allows. The written list of indications this hospital uses — by component, and including when a component is not indicated — is [Hospital to define — the written clinical indications for each component, and when a component is not indicated]. This document does not print a haemoglobin number, a platelet count, or an INR threshold as a mandate. Those figures, if the hospital uses them, live on that hospital list. A copied table from another organisation, left unreviewed, is not this hospital's rational-use rule.</w:t>
      </w:r>
    </w:p>
    <w:p>
      <w:pPr>
        <w:spacing w:after="120"/>
      </w:pPr>
      <w:r>
        <w:rPr>
          <w:sz w:val="22"/>
          <w:szCs w:val="22"/>
        </w:rPr>
        <w:t xml:space="preserve">The quality of evidence-based transfusion guidelines varies, and chapter reference 38 of this chapter records that finding; chapter references 42 and 53 similarly address prescribing and clinical use, and common indications and complications. HMP Foundation may draw on those sources when it writes its own indication list. It does not treat any one of them as a numbered protocol this standard has adopted, and it does not import a threshold from them into this policy as if NABH had set it.</w:t>
      </w:r>
    </w:p>
    <w:p>
      <w:pPr>
        <w:spacing w:after="120"/>
      </w:pPr>
      <w:r>
        <w:rPr>
          <w:sz w:val="22"/>
          <w:szCs w:val="22"/>
        </w:rPr>
        <w:t xml:space="preserve">Before a non-emergency request is sent, the requesting clinician considers whether a non-transfusion alternative meets the need — treating the cause of anaemia, stopping a bleed, reversing an anticoagulant, or using a crystalloid for volume where a red-cell unit is being reached for as volume. Whether that consideration is a recorded field on the request, and how a single-unit strategy is reviewed before a further unit is requested, are [Hospital to define — how alternatives and further-unit review are recorded]. A standing order to "keep the haemoglobin up" without a current indication is not rational use.</w:t>
      </w:r>
    </w:p>
    <w:p>
      <w:pPr>
        <w:spacing w:after="120"/>
      </w:pPr>
      <w:r>
        <w:rPr>
          <w:sz w:val="22"/>
          <w:szCs w:val="22"/>
        </w:rPr>
        <w:t xml:space="preserve">The common error is the top-up: a number below a remembered cutoff, a unit requested without a current clinical question, a second unit hung because the first bag is already up and the patient is still in the theatre, or a plasma unit given "just in case" with no coagulopathy to treat. Each of those is a transfusion without a reason. The indication list, the recorded indication, and the further-unit review are the method that replaces that error.</w:t>
      </w:r>
    </w:p>
    <w:p>
      <w:pPr>
        <w:spacing w:after="120"/>
      </w:pPr>
      <w:r>
        <w:rPr>
          <w:sz w:val="22"/>
          <w:szCs w:val="22"/>
        </w:rPr>
        <w:t xml:space="preserve">Issue of a unit without a recorded indication, outside the emergency pathway, is refused by the person who releases the unit from the clinical side, and the refusal is recorded. The blood bank's own issue rules remain theirs; this step is this hospital's clinical gate.</w:t>
      </w:r>
    </w:p>
    <w:p>
      <w:pPr>
        <w:spacing w:after="120"/>
      </w:pPr>
      <w:r>
        <w:rPr>
          <w:sz w:val="22"/>
          <w:szCs w:val="22"/>
        </w:rPr>
        <w:t xml:space="preserve">The written rational-use guidance, including the indication list, is held at [Hospital to define — where the written rational-use guidance and indication list are held].</w:t>
      </w:r>
    </w:p>
    <w:p>
      <w:pPr>
        <w:spacing w:after="90" w:before="240"/>
      </w:pPr>
      <w:r>
        <w:rPr>
          <w:b/>
          <w:bCs/>
          <w:sz w:val="23"/>
          <w:szCs w:val="23"/>
        </w:rPr>
        <w:t xml:space="preserve">4. Informed consent for transfusion and for donation (COP.5.d)</w:t>
      </w:r>
    </w:p>
    <w:p>
      <w:pPr>
        <w:spacing w:after="120"/>
      </w:pPr>
      <w:r>
        <w:rPr>
          <w:sz w:val="22"/>
          <w:szCs w:val="22"/>
        </w:rPr>
        <w:t xml:space="preserve">Informed consent is obtained for transfusion of blood and blood products, and for donation.</w:t>
      </w:r>
    </w:p>
    <w:p>
      <w:pPr>
        <w:spacing w:after="120"/>
      </w:pPr>
      <w:r>
        <w:rPr>
          <w:sz w:val="22"/>
          <w:szCs w:val="22"/>
        </w:rPr>
        <w:t xml:space="preserve">Consent for transfusion is obtained before the unit is hung, except where a documented emergency makes prior consent impossible. In that case the record states why consent could not be obtained, and consent is completed as soon as the emergency allows. The person who obtains transfusion consent, the form used, and where it is filed, are [Hospital to define — who obtains transfusion consent, the form used, and where it is filed]. The general method of explaining, recording and refusing consent is governed by the patient-rights policies of HMP Foundation when those documents exist; this step owns that transfusion does not start without it.</w:t>
      </w:r>
    </w:p>
    <w:p>
      <w:pPr>
        <w:spacing w:after="120"/>
      </w:pPr>
      <w:r>
        <w:rPr>
          <w:sz w:val="22"/>
          <w:szCs w:val="22"/>
        </w:rPr>
        <w:t xml:space="preserve">Consent for donation is obtained before blood is collected from a donor on this site. If HMP Foundation does not collect donations on site, donation consent is the licensed blood centre's act, and this hospital does not collect from donors. Whether donation is performed on this site, and the donation-consent form if it is, are [Hospital to define — whether donation is performed on this site, and the donation-consent arrangement]. A donation taken without consent is not a donation this hospital accepts.</w:t>
      </w:r>
    </w:p>
    <w:p>
      <w:pPr>
        <w:spacing w:after="120"/>
      </w:pPr>
      <w:r>
        <w:rPr>
          <w:sz w:val="22"/>
          <w:szCs w:val="22"/>
        </w:rPr>
        <w:t xml:space="preserve">Consent for transfusion is not consent for donation. Completing one form does not complete the other.</w:t>
      </w:r>
    </w:p>
    <w:p>
      <w:pPr>
        <w:spacing w:after="90" w:before="240"/>
      </w:pPr>
      <w:r>
        <w:rPr>
          <w:b/>
          <w:bCs/>
          <w:sz w:val="23"/>
          <w:szCs w:val="23"/>
        </w:rPr>
        <w:t xml:space="preserve">5. Emergency availability within a defined time frame (COP.5.e)</w:t>
      </w:r>
    </w:p>
    <w:p>
      <w:pPr>
        <w:spacing w:after="120"/>
      </w:pPr>
      <w:r>
        <w:rPr>
          <w:sz w:val="22"/>
          <w:szCs w:val="22"/>
        </w:rPr>
        <w:t xml:space="preserve">Blood and blood components are available for use in emergency situations within a defined time frame. This step is the documented-evidence anchor of that asterisked requirement. An emergency patient for whom a unit arrives after the need has passed has not been provided with transfusion services, however complete the licence file is.</w:t>
      </w:r>
    </w:p>
    <w:p>
      <w:pPr>
        <w:spacing w:after="120"/>
      </w:pPr>
      <w:r>
        <w:rPr>
          <w:sz w:val="22"/>
          <w:szCs w:val="22"/>
        </w:rPr>
        <w:t xml:space="preserve">The defined time frame, by component and by the class of emergency this hospital recognises, is [Hospital to define — the defined time frame within which blood or a blood component is available in an emergency, by component]. This document does not state a number of minutes. A time copied from another hospital, or a time that is "as soon as possible" without a clock, is not a defined time frame. The clock that the definition uses — from the moment of request, from the moment of clinical decision, or from another stated start — is part of the definition, because mixing clocks produces a figure no one can act on.</w:t>
      </w:r>
    </w:p>
    <w:p>
      <w:pPr>
        <w:spacing w:after="120"/>
      </w:pPr>
      <w:r>
        <w:rPr>
          <w:sz w:val="22"/>
          <w:szCs w:val="22"/>
        </w:rPr>
        <w:t xml:space="preserve">The arrangement that makes the defined time possible is written: the licensed source at step 1, how that source is reached out of hours, who is authorised to request an emergency issue, and the emergency-issue pathway when a fully crossmatched unit cannot be waited for. That arrangement is [Hospital to define — the emergency-availability arrangement, including out of hours and the emergency-issue pathway]. Uncrossmatched issue, group-specific issue, or any other emergency pathway this hospital uses is a local clinical and blood-bank decision recorded here; this document does not name a universal product (including any named group-O stock) as mandatory. What it requires is that the pathway exists, that staff on duty can start it, and that the identity check at step 2 still occurs before the unit is hung. Emergency does not cancel the bedside match. Emergency does not cancel the unique identification number.</w:t>
      </w:r>
    </w:p>
    <w:p>
      <w:pPr>
        <w:spacing w:after="120"/>
      </w:pPr>
      <w:r>
        <w:rPr>
          <w:sz w:val="22"/>
          <w:szCs w:val="22"/>
        </w:rPr>
        <w:t xml:space="preserve">A defined time that is never compared with actual time is a list, not a process. That is the common error this step exists to stop: a sentence in a policy that blood "is available immediately in emergency," and no record of when a bleeding patient actually received a unit. HMP Foundation therefore measures actual emergency-availability time against the defined time. How that measurement is made, and where it is recorded, are [Hospital to define — how actual emergency-availability time is measured against the defined time]. The measurement is reviewed at [Hospital to define — the review interval and forum for emergency-availability performance]. A category that is never measured, or an emergency pathway that cannot be started out of hours, is a document defect.</w:t>
      </w:r>
    </w:p>
    <w:p>
      <w:pPr>
        <w:spacing w:after="120"/>
      </w:pPr>
      <w:r>
        <w:rPr>
          <w:sz w:val="22"/>
          <w:szCs w:val="22"/>
        </w:rPr>
        <w:t xml:space="preserve">When the defined time will be missed, the treating clinician is told before the time elapses, with the reason and the next action (continue to wait, use the emergency-issue pathway, or transfer the patient under the registration, admission and transfer policy of HMP Foundation). That communication does not reset the definition.</w:t>
      </w:r>
    </w:p>
    <w:p>
      <w:pPr>
        <w:spacing w:after="120"/>
      </w:pPr>
      <w:r>
        <w:rPr>
          <w:sz w:val="22"/>
          <w:szCs w:val="22"/>
        </w:rPr>
        <w:t xml:space="preserve">The reason the time is defined at all is that haemorrhage does not wait for a courier who has not been rostered. The blood bank's licence is necessary and not sufficient. Availability is a hospital process: a named source, a named out-of-hours route, a defined clock, and a record of whether the clock was met.</w:t>
      </w:r>
    </w:p>
    <w:p>
      <w:pPr>
        <w:spacing w:after="90" w:before="240"/>
      </w:pPr>
      <w:r>
        <w:rPr>
          <w:b/>
          <w:bCs/>
          <w:sz w:val="23"/>
          <w:szCs w:val="23"/>
        </w:rPr>
        <w:t xml:space="preserve">6. Post-transfusion form, reactions, and analysis (COP.5.f)</w:t>
      </w:r>
    </w:p>
    <w:p>
      <w:pPr>
        <w:spacing w:after="120"/>
      </w:pPr>
      <w:r>
        <w:rPr>
          <w:sz w:val="22"/>
          <w:szCs w:val="22"/>
        </w:rPr>
        <w:t xml:space="preserve">The post-transfusion form is collected. Reactions, if any, are identified and are analysed for corrective and preventive actions.</w:t>
      </w:r>
    </w:p>
    <w:p>
      <w:pPr>
        <w:spacing w:after="120"/>
      </w:pPr>
      <w:r>
        <w:rPr>
          <w:sz w:val="22"/>
          <w:szCs w:val="22"/>
        </w:rPr>
        <w:t xml:space="preserve">The post-transfusion form used at HMP Foundation, who completes it, when it is collected, and where it is filed, are [Hospital to define — the post-transfusion form, who completes it, when it is collected, and where it is filed]. A unit whose form is not collected is a unit whose outcome is unknown.</w:t>
      </w:r>
    </w:p>
    <w:p>
      <w:pPr>
        <w:spacing w:after="120"/>
      </w:pPr>
      <w:r>
        <w:rPr>
          <w:sz w:val="22"/>
          <w:szCs w:val="22"/>
        </w:rPr>
        <w:t xml:space="preserve">A suspected reaction is identified from the observations at step 2, from the patient's report, or from a later laboratory or clinical finding. Identification does not wait for a specialist label. The immediate clinical response remains step 2 (stop, call, do not discard the set until the work-up is decided). This step owns that the event is captured on the form and that it is analysed.</w:t>
      </w:r>
    </w:p>
    <w:p>
      <w:pPr>
        <w:spacing w:after="120"/>
      </w:pPr>
      <w:r>
        <w:rPr>
          <w:sz w:val="22"/>
          <w:szCs w:val="22"/>
        </w:rPr>
        <w:t xml:space="preserve">Analysis is performed at [Hospital to define — who analyses transfusion reactions, at what forum, and at what interval]. Each identified reaction produces a recorded conclusion and, where the conclusion requires it, a corrective or preventive action with an owner and a due date. A file of forms that is never opened is not analysis. A single serious reaction is analysed when it occurs, not held for a quarterly meeting.</w:t>
      </w:r>
    </w:p>
    <w:p>
      <w:pPr>
        <w:spacing w:after="120"/>
      </w:pPr>
      <w:r>
        <w:rPr>
          <w:sz w:val="22"/>
          <w:szCs w:val="22"/>
        </w:rPr>
        <w:t xml:space="preserve">Imputability, severity and the laboratory work-up, where they are used, are [Hospital to define — how a reaction is classified and what laboratory work-up is performed]. This document does not import a named international haemovigilance scheme as mandatory.</w:t>
      </w:r>
    </w:p>
    <w:p>
      <w:pPr>
        <w:spacing w:after="90" w:before="240"/>
      </w:pPr>
      <w:r>
        <w:rPr>
          <w:b/>
          <w:bCs/>
          <w:sz w:val="23"/>
          <w:szCs w:val="23"/>
        </w:rPr>
        <w:t xml:space="preserve">7. Records, review and the order of operations (COP.5.a, COP.5.b, COP.5.c, COP.5.d, COP.5.e, COP.5.f)</w:t>
      </w:r>
    </w:p>
    <w:p>
      <w:pPr>
        <w:spacing w:after="120"/>
      </w:pPr>
      <w:r>
        <w:rPr>
          <w:sz w:val="22"/>
          <w:szCs w:val="22"/>
        </w:rPr>
        <w:t xml:space="preserve">Every transfusion request, issue, bedside identity check, administration record, consent, emergency-availability measurement, post-transfusion form and reaction analysis is recorded against the unique identification number and is retrievable.</w:t>
      </w:r>
    </w:p>
    <w:p>
      <w:pPr>
        <w:spacing w:after="120"/>
      </w:pPr>
      <w:r>
        <w:rPr>
          <w:sz w:val="22"/>
          <w:szCs w:val="22"/>
        </w:rPr>
        <w:t xml:space="preserve">The quality or accreditation coordinator audits a sample of these records at [Hospital to define — the audit interval for transfusion records] for: a transfusion scope aligned with the service directory and a licensed source; bedside identity checks using two identifiers before hanging rather than a bed-number match; a recorded indication for each non-emergency unit; consent present except where a documented emergency records why it was delayed; actual emergency-availability time measured against the defined time; post-transfusion forms collected; and reactions analysed with action where required.</w:t>
      </w:r>
    </w:p>
    <w:p>
      <w:pPr>
        <w:spacing w:after="120"/>
      </w:pPr>
      <w:r>
        <w:rPr>
          <w:sz w:val="22"/>
          <w:szCs w:val="22"/>
        </w:rPr>
        <w:t xml:space="preserve">This policy is reviewed at [Hospital to define — the review interval for this policy], and sooner when a wrong-unit event, a missed emergency unit, or an unanalysed reaction exposes a gap, or when the laboratory, biomedical-waste, infection-control, uniform-care or registration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providing transfusion services that match the defined healthcare services, for every unit coming from a licensed source, for a bedside identity check before a unit is hung, and for emergency availability that is defined and measured.
The person in charge of transfusion services (or the person in charge of the clinical area where transfusion is most used, if no separate post exists) authors and keeps current the transfusion scope at step 1, holds the written safe-transfusion and rational-use guidance, holds the emergency-availability arrangement, and stops issue of a non-emergency unit that has no recorded indication.
Clinicians who request transfusion record the indication, obtain consent under step 4, remain responsible for the decision to transfuse, and respond when a reaction is called.
The staff who administer a transfusion perform the bedside identity check, hang only a matched unit, monitor the recipient, stop the transfusion if a reaction is suspected, complete the administration record and the post-transfusion form, and place the used bag into the hospital-wide biomedical-waste stream.
The licensed blood bank or blood centre issues units under its own licence and standards. This hospital remains responsible for the clinical transfusion on this site.
The quality or accreditation coordinator audits the records at step 7 and reports findings to the head of the institution.
All staff are expected to treat a unit hung without a bedside identity match, a non-emergency transfusion without a recorded indication, an emergency unit that missed its defined time without the clinician being told, and a reaction that was treated and not recorded,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COP.5.
- Drugs and Cosmetics Act, 1940, and the Drugs and Cosmetics Rules, insofar as they govern the licensing of blood banks and blood centres and the issue of blood and blood components.
- National Blood Policy and related guidelines — chapter reference 13 of this chapter (Compendium National Blood Policy and Guidelines, 2016); the policy framework within which licensed transfusion services operate. This document does not reproduce that compendium.
- National Blood Transfusion Council, Policies and Guidelines — chapter reference 40 of this chapter.
- National AIDS Control Organisation, Ministry of Health and Family Welfare, Standards for Blood Banks and Blood Transfusion Services (May 2007) — chapter reference 55 of this chapter; the professional standards expected of a licensed source. This hospital does not rewrite those standards as local manufacturing rules.
- Hervig, T., Kaada, S., and Seghatchian, J. (2014), Storage and handling of blood components — perspectives, Transfusion and Apheresis Science, 51(2), 103-106 — chapter reference 21 of this chapter; used here only to support that storage and handling pending transfusion are written locally. No storage-hour figure is imported as a mandate.
- Pavenski, K., et al. (2018), Quality of Evidence-Based Guidelines for Transfusion of Red Blood Cells and Plasma: A Systematic Review, Transfusion Medicine Reviews, 32(3), 135-143 — chapter reference 38 of this chapter; used here to caution that indication lists vary in quality and must be this hospital's own reviewed list.
- Australian Commission on Safety and Quality in Health Care, Prescribing and clinical use of blood and blood products — chapter reference 42 of this chapter; a recognised source this hospital may draw on when writing its indication list; not adopted as a numbered protocol.
- Sharma, S., Sharma, P. and Tyler, L. N. (2011), Transfusion of Blood and Blood Products: Indications and Complications, American Family Physician, 83(6), 719-724 — chapter reference 53 of this chapter; used as background on indications and complications; no threshold imported.
- Internal documents of HMP Foundation: the service directory and department scopes of services; the transfusion scope of services; the written safe-transfusion guidance; the rational-use indication list; the transfusion and donation consent forms; the emergency-availability arrangement and measurement; the post-transfusion form and reaction-analysis record; the laboratory-services policy; the support-services infection-control policy; the infection-prevention-and-control-practices policy; the uniform-care policy; the registration and admission policy;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in-patient ward; the emergency area; the operation theatre and recovery; intensive and high-dependency areas where they exist; the labour room; day-care; nursing administration; the person in charge of transfusion services; and every head of department whose staff request or administer transfusion.
The current version is available to all staff at [Hospital to define — intranet location or nursing station folder]. The transfusion scope, the safe-transfusion guidance, the indication list, the emergency-availability arrangement and the post-transfusion form — the working documents this policy requires — are held in the clinical areas that transfuse.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COP.5.a — Transfusion services are commensurate with the services provided by the organization, and are governed by the applicable laws and regulations</w:t>
      </w:r>
    </w:p>
    <w:p>
      <w:pPr>
        <w:pStyle w:val="ListParagraph"/>
        <w:numPr>
          <w:ilvl w:val="0"/>
          <w:numId w:val="1"/>
        </w:numPr>
        <w:spacing w:after="60"/>
      </w:pPr>
      <w:r>
        <w:rPr>
          <w:sz w:val="22"/>
          <w:szCs w:val="22"/>
        </w:rPr>
        <w:t xml:space="preserve">The written transfusion scope of services, listing components used, clinical areas, hours, and whether supply is in-house, by arrangement, or both</w:t>
      </w:r>
    </w:p>
    <w:p>
      <w:pPr>
        <w:pStyle w:val="ListParagraph"/>
        <w:numPr>
          <w:ilvl w:val="0"/>
          <w:numId w:val="1"/>
        </w:numPr>
        <w:spacing w:after="60"/>
      </w:pPr>
      <w:r>
        <w:rPr>
          <w:sz w:val="22"/>
          <w:szCs w:val="22"/>
        </w:rPr>
        <w:t xml:space="preserve">alignment of that scope with the current service directory</w:t>
      </w:r>
    </w:p>
    <w:p>
      <w:pPr>
        <w:pStyle w:val="ListParagraph"/>
        <w:numPr>
          <w:ilvl w:val="0"/>
          <w:numId w:val="1"/>
        </w:numPr>
        <w:spacing w:after="60"/>
      </w:pPr>
      <w:r>
        <w:rPr>
          <w:sz w:val="22"/>
          <w:szCs w:val="22"/>
        </w:rPr>
        <w:t xml:space="preserve">current licence evidence for the blood bank or blood centre from which units are issued</w:t>
      </w:r>
    </w:p>
    <w:p>
      <w:pPr>
        <w:pStyle w:val="ListParagraph"/>
        <w:numPr>
          <w:ilvl w:val="0"/>
          <w:numId w:val="1"/>
        </w:numPr>
        <w:spacing w:after="60"/>
      </w:pPr>
      <w:r>
        <w:rPr>
          <w:sz w:val="22"/>
          <w:szCs w:val="22"/>
        </w:rPr>
        <w:t xml:space="preserve">the location where the scope and licence evidence are held</w:t>
      </w:r>
    </w:p>
    <w:p>
      <w:pPr>
        <w:spacing w:after="90" w:before="200"/>
      </w:pPr>
      <w:r>
        <w:rPr>
          <w:b/>
          <w:bCs/>
          <w:sz w:val="22"/>
          <w:szCs w:val="22"/>
        </w:rPr>
        <w:t xml:space="preserve">COP.5.b — Transfusion of blood and blood components is done safely</w:t>
      </w:r>
    </w:p>
    <w:p>
      <w:pPr>
        <w:pStyle w:val="ListParagraph"/>
        <w:numPr>
          <w:ilvl w:val="0"/>
          <w:numId w:val="1"/>
        </w:numPr>
        <w:spacing w:after="60"/>
      </w:pPr>
      <w:r>
        <w:rPr>
          <w:sz w:val="22"/>
          <w:szCs w:val="22"/>
        </w:rPr>
        <w:t xml:space="preserve">The written transfusion-request content including unique identification number, name, component, indication, date and time and requesting clinician, and the rule that a nameless verbal request is converted as soon as the emergency allows</w:t>
      </w:r>
    </w:p>
    <w:p>
      <w:pPr>
        <w:pStyle w:val="ListParagraph"/>
        <w:numPr>
          <w:ilvl w:val="0"/>
          <w:numId w:val="1"/>
        </w:numPr>
        <w:spacing w:after="60"/>
      </w:pPr>
      <w:r>
        <w:rPr>
          <w:sz w:val="22"/>
          <w:szCs w:val="22"/>
        </w:rPr>
        <w:t xml:space="preserve">sample requests showing those fields</w:t>
      </w:r>
    </w:p>
    <w:p>
      <w:pPr>
        <w:pStyle w:val="ListParagraph"/>
        <w:numPr>
          <w:ilvl w:val="0"/>
          <w:numId w:val="1"/>
        </w:numPr>
        <w:spacing w:after="60"/>
      </w:pPr>
      <w:r>
        <w:rPr>
          <w:sz w:val="22"/>
          <w:szCs w:val="22"/>
        </w:rPr>
        <w:t xml:space="preserve">records showing the pre-transfusion sample collected and identified under the laboratory specimen pathway rather than under a parallel method invented here, with the unique identification number on the sample matching the request</w:t>
      </w:r>
    </w:p>
    <w:p>
      <w:pPr>
        <w:pStyle w:val="ListParagraph"/>
        <w:numPr>
          <w:ilvl w:val="0"/>
          <w:numId w:val="1"/>
        </w:numPr>
        <w:spacing w:after="60"/>
      </w:pPr>
      <w:r>
        <w:rPr>
          <w:sz w:val="22"/>
          <w:szCs w:val="22"/>
        </w:rPr>
        <w:t xml:space="preserve">the written rule on who collects a unit, how it is transported, and the storage conditions pending transfusion, with records of units not stored in a domestic refrigerator or other undesignated place</w:t>
      </w:r>
    </w:p>
    <w:p>
      <w:pPr>
        <w:pStyle w:val="ListParagraph"/>
        <w:numPr>
          <w:ilvl w:val="0"/>
          <w:numId w:val="1"/>
        </w:numPr>
        <w:spacing w:after="60"/>
      </w:pPr>
      <w:r>
        <w:rPr>
          <w:sz w:val="22"/>
          <w:szCs w:val="22"/>
        </w:rPr>
        <w:t xml:space="preserve">records of leaking, clotted, discoloured, expired or out-of-condition units returned rather than transfused</w:t>
      </w:r>
    </w:p>
    <w:p>
      <w:pPr>
        <w:pStyle w:val="ListParagraph"/>
        <w:numPr>
          <w:ilvl w:val="0"/>
          <w:numId w:val="1"/>
        </w:numPr>
        <w:spacing w:after="60"/>
      </w:pPr>
      <w:r>
        <w:rPr>
          <w:sz w:val="22"/>
          <w:szCs w:val="22"/>
        </w:rPr>
        <w:t xml:space="preserve">sample bedside identity-check records showing the two identifiers required by the uniform-care policy matched to the issue slip and the bag label in the presence of the patient (or of the person who can confirm identity) before the unit was hung, and showing the check was not performed against a bed number alone or at the nursing station</w:t>
      </w:r>
    </w:p>
    <w:p>
      <w:pPr>
        <w:pStyle w:val="ListParagraph"/>
        <w:numPr>
          <w:ilvl w:val="0"/>
          <w:numId w:val="1"/>
        </w:numPr>
        <w:spacing w:after="60"/>
      </w:pPr>
      <w:r>
        <w:rPr>
          <w:sz w:val="22"/>
          <w:szCs w:val="22"/>
        </w:rPr>
        <w:t xml:space="preserve">records of identifier mismatches treated as incidents and the unit not hung</w:t>
      </w:r>
    </w:p>
    <w:p>
      <w:pPr>
        <w:pStyle w:val="ListParagraph"/>
        <w:numPr>
          <w:ilvl w:val="0"/>
          <w:numId w:val="1"/>
        </w:numPr>
        <w:spacing w:after="60"/>
      </w:pPr>
      <w:r>
        <w:rPr>
          <w:sz w:val="22"/>
          <w:szCs w:val="22"/>
        </w:rPr>
        <w:t xml:space="preserve">the written rule on whether a second-person check is required</w:t>
      </w:r>
    </w:p>
    <w:p>
      <w:pPr>
        <w:pStyle w:val="ListParagraph"/>
        <w:numPr>
          <w:ilvl w:val="0"/>
          <w:numId w:val="1"/>
        </w:numPr>
        <w:spacing w:after="60"/>
      </w:pPr>
      <w:r>
        <w:rPr>
          <w:sz w:val="22"/>
          <w:szCs w:val="22"/>
        </w:rPr>
        <w:t xml:space="preserve">the named roles that may administer a transfusion</w:t>
      </w:r>
    </w:p>
    <w:p>
      <w:pPr>
        <w:pStyle w:val="ListParagraph"/>
        <w:numPr>
          <w:ilvl w:val="0"/>
          <w:numId w:val="1"/>
        </w:numPr>
        <w:spacing w:after="60"/>
      </w:pPr>
      <w:r>
        <w:rPr>
          <w:sz w:val="22"/>
          <w:szCs w:val="22"/>
        </w:rPr>
        <w:t xml:space="preserve">the giving set used</w:t>
      </w:r>
    </w:p>
    <w:p>
      <w:pPr>
        <w:pStyle w:val="ListParagraph"/>
        <w:numPr>
          <w:ilvl w:val="0"/>
          <w:numId w:val="1"/>
        </w:numPr>
        <w:spacing w:after="60"/>
      </w:pPr>
      <w:r>
        <w:rPr>
          <w:sz w:val="22"/>
          <w:szCs w:val="22"/>
        </w:rPr>
        <w:t xml:space="preserve">the administration rate and any blood-warming method as local decisions rather than numbered mandates</w:t>
      </w:r>
    </w:p>
    <w:p>
      <w:pPr>
        <w:pStyle w:val="ListParagraph"/>
        <w:numPr>
          <w:ilvl w:val="0"/>
          <w:numId w:val="1"/>
        </w:numPr>
        <w:spacing w:after="60"/>
      </w:pPr>
      <w:r>
        <w:rPr>
          <w:sz w:val="22"/>
          <w:szCs w:val="22"/>
        </w:rPr>
        <w:t xml:space="preserve">monitoring records during and after transfusion against the unique identification number, including start and stop time, volume, the person who administered, the identity check and the observations</w:t>
      </w:r>
    </w:p>
    <w:p>
      <w:pPr>
        <w:pStyle w:val="ListParagraph"/>
        <w:numPr>
          <w:ilvl w:val="0"/>
          <w:numId w:val="1"/>
        </w:numPr>
        <w:spacing w:after="60"/>
      </w:pPr>
      <w:r>
        <w:rPr>
          <w:sz w:val="22"/>
          <w:szCs w:val="22"/>
        </w:rPr>
        <w:t xml:space="preserve">records of suspected reactions in which the transfusion was stopped, the treating clinician called, and the set retained until the work-up was decided</w:t>
      </w:r>
    </w:p>
    <w:p>
      <w:pPr>
        <w:pStyle w:val="ListParagraph"/>
        <w:numPr>
          <w:ilvl w:val="0"/>
          <w:numId w:val="1"/>
        </w:numPr>
        <w:spacing w:after="60"/>
      </w:pPr>
      <w:r>
        <w:rPr>
          <w:sz w:val="22"/>
          <w:szCs w:val="22"/>
        </w:rPr>
        <w:t xml:space="preserve">records of used bags and tubing entering the hospital-wide biomedical-waste programme owned by the support-services infection-control policy rather than left in a sink, general bin or theatre bucket, without this document restating colour categories</w:t>
      </w:r>
    </w:p>
    <w:p>
      <w:pPr>
        <w:pStyle w:val="ListParagraph"/>
        <w:numPr>
          <w:ilvl w:val="0"/>
          <w:numId w:val="1"/>
        </w:numPr>
        <w:spacing w:after="60"/>
      </w:pPr>
      <w:r>
        <w:rPr>
          <w:sz w:val="22"/>
          <w:szCs w:val="22"/>
        </w:rPr>
        <w:t xml:space="preserve">the location of the written safe-transfusion guidance</w:t>
      </w:r>
    </w:p>
    <w:p>
      <w:pPr>
        <w:pStyle w:val="ListParagraph"/>
        <w:numPr>
          <w:ilvl w:val="0"/>
          <w:numId w:val="1"/>
        </w:numPr>
        <w:spacing w:after="60"/>
      </w:pPr>
      <w:r>
        <w:rPr>
          <w:sz w:val="22"/>
          <w:szCs w:val="22"/>
        </w:rPr>
        <w:t xml:space="preserve">induction or briefing records of staff who administer transfusion</w:t>
      </w:r>
    </w:p>
    <w:p>
      <w:pPr>
        <w:pStyle w:val="ListParagraph"/>
        <w:numPr>
          <w:ilvl w:val="0"/>
          <w:numId w:val="1"/>
        </w:numPr>
        <w:spacing w:after="60"/>
      </w:pPr>
      <w:r>
        <w:rPr>
          <w:sz w:val="22"/>
          <w:szCs w:val="22"/>
        </w:rPr>
        <w:t xml:space="preserve">the audit sample at step 7 of bedside identity checks using two identifiers before hanging rather than a bed-number match</w:t>
      </w:r>
    </w:p>
    <w:p>
      <w:pPr>
        <w:spacing w:after="90" w:before="200"/>
      </w:pPr>
      <w:r>
        <w:rPr>
          <w:b/>
          <w:bCs/>
          <w:sz w:val="22"/>
          <w:szCs w:val="22"/>
        </w:rPr>
        <w:t xml:space="preserve">COP.5.c — Blood and blood components are used rationally</w:t>
      </w:r>
    </w:p>
    <w:p>
      <w:pPr>
        <w:pStyle w:val="ListParagraph"/>
        <w:numPr>
          <w:ilvl w:val="0"/>
          <w:numId w:val="1"/>
        </w:numPr>
        <w:spacing w:after="60"/>
      </w:pPr>
      <w:r>
        <w:rPr>
          <w:sz w:val="22"/>
          <w:szCs w:val="22"/>
        </w:rPr>
        <w:t xml:space="preserve">The written clinical-indication list for each component, including when a component is not indicated, dated as this hospital's reviewed list rather than an unadapted printed table, and containing no haemoglobin, platelet or INR figure treated as a NABH mandate</w:t>
      </w:r>
    </w:p>
    <w:p>
      <w:pPr>
        <w:pStyle w:val="ListParagraph"/>
        <w:numPr>
          <w:ilvl w:val="0"/>
          <w:numId w:val="1"/>
        </w:numPr>
        <w:spacing w:after="60"/>
      </w:pPr>
      <w:r>
        <w:rPr>
          <w:sz w:val="22"/>
          <w:szCs w:val="22"/>
        </w:rPr>
        <w:t xml:space="preserve">sample non-emergency requests showing a recorded clinical indication written before issue</w:t>
      </w:r>
    </w:p>
    <w:p>
      <w:pPr>
        <w:pStyle w:val="ListParagraph"/>
        <w:numPr>
          <w:ilvl w:val="0"/>
          <w:numId w:val="1"/>
        </w:numPr>
        <w:spacing w:after="60"/>
      </w:pPr>
      <w:r>
        <w:rPr>
          <w:sz w:val="22"/>
          <w:szCs w:val="22"/>
        </w:rPr>
        <w:t xml:space="preserve">the written method for recording that a non-transfusion alternative was considered and for reviewing a further unit before it is requested</w:t>
      </w:r>
    </w:p>
    <w:p>
      <w:pPr>
        <w:pStyle w:val="ListParagraph"/>
        <w:numPr>
          <w:ilvl w:val="0"/>
          <w:numId w:val="1"/>
        </w:numPr>
        <w:spacing w:after="60"/>
      </w:pPr>
      <w:r>
        <w:rPr>
          <w:sz w:val="22"/>
          <w:szCs w:val="22"/>
        </w:rPr>
        <w:t xml:space="preserve">records of standing 'keep the haemoglobin up' orders refused as incomplete</w:t>
      </w:r>
    </w:p>
    <w:p>
      <w:pPr>
        <w:pStyle w:val="ListParagraph"/>
        <w:numPr>
          <w:ilvl w:val="0"/>
          <w:numId w:val="1"/>
        </w:numPr>
        <w:spacing w:after="60"/>
      </w:pPr>
      <w:r>
        <w:rPr>
          <w:sz w:val="22"/>
          <w:szCs w:val="22"/>
        </w:rPr>
        <w:t xml:space="preserve">records of non-emergency issue refused from the clinical side where no indication was recorded</w:t>
      </w:r>
    </w:p>
    <w:p>
      <w:pPr>
        <w:pStyle w:val="ListParagraph"/>
        <w:numPr>
          <w:ilvl w:val="0"/>
          <w:numId w:val="1"/>
        </w:numPr>
        <w:spacing w:after="60"/>
      </w:pPr>
      <w:r>
        <w:rPr>
          <w:sz w:val="22"/>
          <w:szCs w:val="22"/>
        </w:rPr>
        <w:t xml:space="preserve">the location of the rational-use guidance and indication list</w:t>
      </w:r>
    </w:p>
    <w:p>
      <w:pPr>
        <w:pStyle w:val="ListParagraph"/>
        <w:numPr>
          <w:ilvl w:val="0"/>
          <w:numId w:val="1"/>
        </w:numPr>
        <w:spacing w:after="60"/>
      </w:pPr>
      <w:r>
        <w:rPr>
          <w:sz w:val="22"/>
          <w:szCs w:val="22"/>
        </w:rPr>
        <w:t xml:space="preserve">briefing records of requesting clinicians</w:t>
      </w:r>
    </w:p>
    <w:p>
      <w:pPr>
        <w:pStyle w:val="ListParagraph"/>
        <w:numPr>
          <w:ilvl w:val="0"/>
          <w:numId w:val="1"/>
        </w:numPr>
        <w:spacing w:after="60"/>
      </w:pPr>
      <w:r>
        <w:rPr>
          <w:sz w:val="22"/>
          <w:szCs w:val="22"/>
        </w:rPr>
        <w:t xml:space="preserve">the audit sample at step 7 of a recorded indication for each non-emergency unit</w:t>
      </w:r>
    </w:p>
    <w:p>
      <w:pPr>
        <w:spacing w:after="90" w:before="200"/>
      </w:pPr>
      <w:r>
        <w:rPr>
          <w:b/>
          <w:bCs/>
          <w:sz w:val="22"/>
          <w:szCs w:val="22"/>
        </w:rPr>
        <w:t xml:space="preserve">COP.5.d — Informed consent is obtained for transfusion of blood and blood products, and for donation</w:t>
      </w:r>
    </w:p>
    <w:p>
      <w:pPr>
        <w:pStyle w:val="ListParagraph"/>
        <w:numPr>
          <w:ilvl w:val="0"/>
          <w:numId w:val="1"/>
        </w:numPr>
        <w:spacing w:after="60"/>
      </w:pPr>
      <w:r>
        <w:rPr>
          <w:sz w:val="22"/>
          <w:szCs w:val="22"/>
        </w:rPr>
        <w:t xml:space="preserve">The transfusion-consent form, the named person who obtains it, and sample records showing consent before hanging except where a documented emergency records why it was delayed and that consent was completed afterwards</w:t>
      </w:r>
    </w:p>
    <w:p>
      <w:pPr>
        <w:pStyle w:val="ListParagraph"/>
        <w:numPr>
          <w:ilvl w:val="0"/>
          <w:numId w:val="1"/>
        </w:numPr>
        <w:spacing w:after="60"/>
      </w:pPr>
      <w:r>
        <w:rPr>
          <w:sz w:val="22"/>
          <w:szCs w:val="22"/>
        </w:rPr>
        <w:t xml:space="preserve">the written statement of whether donation is performed on this site and, if it is, the donation-consent form and sample donor consents</w:t>
      </w:r>
    </w:p>
    <w:p>
      <w:pPr>
        <w:pStyle w:val="ListParagraph"/>
        <w:numPr>
          <w:ilvl w:val="0"/>
          <w:numId w:val="1"/>
        </w:numPr>
        <w:spacing w:after="60"/>
      </w:pPr>
      <w:r>
        <w:rPr>
          <w:sz w:val="22"/>
          <w:szCs w:val="22"/>
        </w:rPr>
        <w:t xml:space="preserve">records distinguishing transfusion consent from donation consent</w:t>
      </w:r>
    </w:p>
    <w:p>
      <w:pPr>
        <w:pStyle w:val="ListParagraph"/>
        <w:numPr>
          <w:ilvl w:val="0"/>
          <w:numId w:val="1"/>
        </w:numPr>
        <w:spacing w:after="60"/>
      </w:pPr>
      <w:r>
        <w:rPr>
          <w:sz w:val="22"/>
          <w:szCs w:val="22"/>
        </w:rPr>
        <w:t xml:space="preserve">the audit sample at step 7 of consent present except documented emergency delay</w:t>
      </w:r>
    </w:p>
    <w:p>
      <w:pPr>
        <w:spacing w:after="90" w:before="200"/>
      </w:pPr>
      <w:r>
        <w:rPr>
          <w:b/>
          <w:bCs/>
          <w:sz w:val="22"/>
          <w:szCs w:val="22"/>
        </w:rPr>
        <w:t xml:space="preserve">COP.5.e — Blood/blood components are available for use in emergency situations within a defined time frame</w:t>
      </w:r>
    </w:p>
    <w:p>
      <w:pPr>
        <w:pStyle w:val="ListParagraph"/>
        <w:numPr>
          <w:ilvl w:val="0"/>
          <w:numId w:val="1"/>
        </w:numPr>
        <w:spacing w:after="60"/>
      </w:pPr>
      <w:r>
        <w:rPr>
          <w:sz w:val="22"/>
          <w:szCs w:val="22"/>
        </w:rPr>
        <w:t xml:space="preserve">The written defined time frame for emergency availability by component and by class of emergency, stating the clock used so that clocks are not mixed, and containing no invented number of minutes presented as a mandate</w:t>
      </w:r>
    </w:p>
    <w:p>
      <w:pPr>
        <w:pStyle w:val="ListParagraph"/>
        <w:numPr>
          <w:ilvl w:val="0"/>
          <w:numId w:val="1"/>
        </w:numPr>
        <w:spacing w:after="60"/>
      </w:pPr>
      <w:r>
        <w:rPr>
          <w:sz w:val="22"/>
          <w:szCs w:val="22"/>
        </w:rPr>
        <w:t xml:space="preserve">the written emergency-availability arrangement including the licensed source, the out-of-hours route, who is authorised to request an emergency issue, and the emergency-issue pathway when a fully crossmatched unit cannot be waited for, without naming a universal product as mandatory</w:t>
      </w:r>
    </w:p>
    <w:p>
      <w:pPr>
        <w:pStyle w:val="ListParagraph"/>
        <w:numPr>
          <w:ilvl w:val="0"/>
          <w:numId w:val="1"/>
        </w:numPr>
        <w:spacing w:after="60"/>
      </w:pPr>
      <w:r>
        <w:rPr>
          <w:sz w:val="22"/>
          <w:szCs w:val="22"/>
        </w:rPr>
        <w:t xml:space="preserve">sample emergency-issue records showing the bedside identity check at step 2 still performed and the unique identification number still used</w:t>
      </w:r>
    </w:p>
    <w:p>
      <w:pPr>
        <w:pStyle w:val="ListParagraph"/>
        <w:numPr>
          <w:ilvl w:val="0"/>
          <w:numId w:val="1"/>
        </w:numPr>
        <w:spacing w:after="60"/>
      </w:pPr>
      <w:r>
        <w:rPr>
          <w:sz w:val="22"/>
          <w:szCs w:val="22"/>
        </w:rPr>
        <w:t xml:space="preserve">the method by which actual emergency-availability time is measured against the defined time, and the records of that measurement</w:t>
      </w:r>
    </w:p>
    <w:p>
      <w:pPr>
        <w:pStyle w:val="ListParagraph"/>
        <w:numPr>
          <w:ilvl w:val="0"/>
          <w:numId w:val="1"/>
        </w:numPr>
        <w:spacing w:after="60"/>
      </w:pPr>
      <w:r>
        <w:rPr>
          <w:sz w:val="22"/>
          <w:szCs w:val="22"/>
        </w:rPr>
        <w:t xml:space="preserve">the review record at the stated interval and forum, including any category defined but not measured</w:t>
      </w:r>
    </w:p>
    <w:p>
      <w:pPr>
        <w:pStyle w:val="ListParagraph"/>
        <w:numPr>
          <w:ilvl w:val="0"/>
          <w:numId w:val="1"/>
        </w:numPr>
        <w:spacing w:after="60"/>
      </w:pPr>
      <w:r>
        <w:rPr>
          <w:sz w:val="22"/>
          <w:szCs w:val="22"/>
        </w:rPr>
        <w:t xml:space="preserve">records of the treating clinician being told when the defined time will be missed, with the reason and the next action, before the time elapsed</w:t>
      </w:r>
    </w:p>
    <w:p>
      <w:pPr>
        <w:pStyle w:val="ListParagraph"/>
        <w:numPr>
          <w:ilvl w:val="0"/>
          <w:numId w:val="1"/>
        </w:numPr>
        <w:spacing w:after="60"/>
      </w:pPr>
      <w:r>
        <w:rPr>
          <w:sz w:val="22"/>
          <w:szCs w:val="22"/>
        </w:rPr>
        <w:t xml:space="preserve">records of an out-of-hours pathway that can actually be started rather than a daytime-only arrangement</w:t>
      </w:r>
    </w:p>
    <w:p>
      <w:pPr>
        <w:pStyle w:val="ListParagraph"/>
        <w:numPr>
          <w:ilvl w:val="0"/>
          <w:numId w:val="1"/>
        </w:numPr>
        <w:spacing w:after="60"/>
      </w:pPr>
      <w:r>
        <w:rPr>
          <w:sz w:val="22"/>
          <w:szCs w:val="22"/>
        </w:rPr>
        <w:t xml:space="preserve">the audit sample at step 7 of actual emergency-availability time measured against the defined time</w:t>
      </w:r>
    </w:p>
    <w:p>
      <w:pPr>
        <w:spacing w:after="90" w:before="200"/>
      </w:pPr>
      <w:r>
        <w:rPr>
          <w:b/>
          <w:bCs/>
          <w:sz w:val="22"/>
          <w:szCs w:val="22"/>
        </w:rPr>
        <w:t xml:space="preserve">COP.5.f — Post-transfusion form is collected, reactions if any identified and are analysed for corrective and preventive actions</w:t>
      </w:r>
    </w:p>
    <w:p>
      <w:pPr>
        <w:pStyle w:val="ListParagraph"/>
        <w:numPr>
          <w:ilvl w:val="0"/>
          <w:numId w:val="1"/>
        </w:numPr>
        <w:spacing w:after="60"/>
      </w:pPr>
      <w:r>
        <w:rPr>
          <w:sz w:val="22"/>
          <w:szCs w:val="22"/>
        </w:rPr>
        <w:t xml:space="preserve">The post-transfusion form, who completes it, when it is collected and where it is filed</w:t>
      </w:r>
    </w:p>
    <w:p>
      <w:pPr>
        <w:pStyle w:val="ListParagraph"/>
        <w:numPr>
          <w:ilvl w:val="0"/>
          <w:numId w:val="1"/>
        </w:numPr>
        <w:spacing w:after="60"/>
      </w:pPr>
      <w:r>
        <w:rPr>
          <w:sz w:val="22"/>
          <w:szCs w:val="22"/>
        </w:rPr>
        <w:t xml:space="preserve">sample forms collected against units transfused</w:t>
      </w:r>
    </w:p>
    <w:p>
      <w:pPr>
        <w:pStyle w:val="ListParagraph"/>
        <w:numPr>
          <w:ilvl w:val="0"/>
          <w:numId w:val="1"/>
        </w:numPr>
        <w:spacing w:after="60"/>
      </w:pPr>
      <w:r>
        <w:rPr>
          <w:sz w:val="22"/>
          <w:szCs w:val="22"/>
        </w:rPr>
        <w:t xml:space="preserve">records of suspected reactions identified and captured</w:t>
      </w:r>
    </w:p>
    <w:p>
      <w:pPr>
        <w:pStyle w:val="ListParagraph"/>
        <w:numPr>
          <w:ilvl w:val="0"/>
          <w:numId w:val="1"/>
        </w:numPr>
        <w:spacing w:after="60"/>
      </w:pPr>
      <w:r>
        <w:rPr>
          <w:sz w:val="22"/>
          <w:szCs w:val="22"/>
        </w:rPr>
        <w:t xml:space="preserve">the named forum, owner and interval for analysis</w:t>
      </w:r>
    </w:p>
    <w:p>
      <w:pPr>
        <w:pStyle w:val="ListParagraph"/>
        <w:numPr>
          <w:ilvl w:val="0"/>
          <w:numId w:val="1"/>
        </w:numPr>
        <w:spacing w:after="60"/>
      </w:pPr>
      <w:r>
        <w:rPr>
          <w:sz w:val="22"/>
          <w:szCs w:val="22"/>
        </w:rPr>
        <w:t xml:space="preserve">sample analyses with recorded conclusions and corrective or preventive actions with owner and due date where required, including a serious reaction analysed when it occurred rather than held for a later meeting</w:t>
      </w:r>
    </w:p>
    <w:p>
      <w:pPr>
        <w:pStyle w:val="ListParagraph"/>
        <w:numPr>
          <w:ilvl w:val="0"/>
          <w:numId w:val="1"/>
        </w:numPr>
        <w:spacing w:after="60"/>
      </w:pPr>
      <w:r>
        <w:rPr>
          <w:sz w:val="22"/>
          <w:szCs w:val="22"/>
        </w:rPr>
        <w:t xml:space="preserve">the classification and laboratory work-up method if used</w:t>
      </w:r>
    </w:p>
    <w:p>
      <w:pPr>
        <w:pStyle w:val="ListParagraph"/>
        <w:numPr>
          <w:ilvl w:val="0"/>
          <w:numId w:val="1"/>
        </w:numPr>
        <w:spacing w:after="60"/>
      </w:pPr>
      <w:r>
        <w:rPr>
          <w:sz w:val="22"/>
          <w:szCs w:val="22"/>
        </w:rPr>
        <w:t xml:space="preserve">the audit sample at step 7 of forms collected and reactions analysed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Drugs and Cosmetics Act, 1940 and the Drugs and Cosmetics Rules, insofar as they govern the licensing of blood banks and blood centres and the issue of blood and blood components, and the National Blood Policy and the National Blood Transfusion Council / National AIDS Control Organisation Standards for Blood Banks and Blood Transfusion Services insofar as they govern licensed transfusion services.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HMP/COP/POL-5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2026-08-17T10:15:50.281Z</dcterms:created>
  <dcterms:modified xsi:type="dcterms:W3CDTF">2026-08-17T10:15:50.281Z</dcterms:modified>
</cp:coreProperties>
</file>

<file path=docProps/custom.xml><?xml version="1.0" encoding="utf-8"?>
<Properties xmlns="http://schemas.openxmlformats.org/officeDocument/2006/custom-properties" xmlns:vt="http://schemas.openxmlformats.org/officeDocument/2006/docPropsVTypes"/>
</file>