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Infection Prevention and Control Practices in Clinical Areas</w:t>
      </w:r>
    </w:p>
    <w:p>
      <w:pPr>
        <w:spacing w:after="300"/>
        <w:jc w:val="center"/>
      </w:pPr>
      <w:r>
        <w:rPr>
          <w:i/>
          <w:iCs/>
          <w:sz w:val="20"/>
          <w:szCs w:val="20"/>
        </w:rPr>
        <w:t xml:space="preserve">(Mandatory System Documentation as per NABH SHCO 3rd Edition — HIC.2.a, HIC.2.b, HIC.2.c, HIC.2.d, HIC.2.e, HIC.2.f, HIC.2.g)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HMP/HIC/POL-2</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HIC.2.a, HIC.2.b, HIC.2.c, HIC.2.d, HIC.2.e, HIC.2.f, HIC.2.g</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HIC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HIC.2.a</w:t>
            </w:r>
          </w:p>
        </w:tc>
        <w:tc>
          <w:tcPr>
            <w:tcW w:type="pct" w:w="45%"/>
          </w:tcPr>
          <w:p>
            <w:r>
              <w:rPr>
                <w:b w:val="false"/>
                <w:bCs w:val="false"/>
                <w:sz w:val="18"/>
                <w:szCs w:val="18"/>
              </w:rPr>
              <w:t xml:space="preserve">Standard precautions applied to every patient at all times</w:t>
            </w:r>
          </w:p>
        </w:tc>
        <w:tc>
          <w:tcPr>
            <w:tcW w:type="pct" w:w="20%"/>
          </w:tcPr>
          <w:p>
            <w:r>
              <w:rPr>
                <w:b w:val="false"/>
                <w:bCs w:val="false"/>
                <w:sz w:val="18"/>
                <w:szCs w:val="18"/>
              </w:rPr>
              <w:t xml:space="preserve">Step 2, Steps 10-14</w:t>
            </w:r>
          </w:p>
        </w:tc>
        <w:tc>
          <w:tcPr>
            <w:tcW w:type="pct" w:w="20%"/>
          </w:tcPr>
          <w:p>
            <w:r>
              <w:rPr>
                <w:b w:val="false"/>
                <w:bCs w:val="false"/>
                <w:sz w:val="18"/>
                <w:szCs w:val="18"/>
              </w:rPr>
              <w:t xml:space="preserve">Head of each clinical department and the nursing in-charge of each area are accountable for standard precautions being applied in their own area and for staff being trained and assessed as competent before independent practice; Infection Control Nurse conducts and documents the standard precautions, PPE and competency audits and feeds the results back to the area; hospital leadership of HMP Foundation provides the PPE, consumables and facilities the precautions require; occupational health assesses fitness for duty of any member of staff with a transmissible illness; every member of staff, of any grade, is responsible for applying standard precautions to every patient without exception; ICC reviews the audit results and tracks the corrective actions to closure</w:t>
            </w:r>
          </w:p>
        </w:tc>
      </w:tr>
      <w:tr>
        <w:tc>
          <w:tcPr>
            <w:tcW w:type="pct" w:w="15%"/>
          </w:tcPr>
          <w:p>
            <w:r>
              <w:rPr>
                <w:b w:val="false"/>
                <w:bCs w:val="false"/>
                <w:sz w:val="18"/>
                <w:szCs w:val="18"/>
              </w:rPr>
              <w:t xml:space="preserve">HIC.2.b</w:t>
            </w:r>
          </w:p>
        </w:tc>
        <w:tc>
          <w:tcPr>
            <w:tcW w:type="pct" w:w="45%"/>
          </w:tcPr>
          <w:p>
            <w:r>
              <w:rPr>
                <w:b w:val="false"/>
                <w:bCs w:val="false"/>
                <w:sz w:val="18"/>
                <w:szCs w:val="18"/>
              </w:rPr>
              <w:t xml:space="preserve">Adherence to hand hygiene guidelines</w:t>
            </w:r>
          </w:p>
        </w:tc>
        <w:tc>
          <w:tcPr>
            <w:tcW w:type="pct" w:w="20%"/>
          </w:tcPr>
          <w:p>
            <w:r>
              <w:rPr>
                <w:b w:val="false"/>
                <w:bCs w:val="false"/>
                <w:sz w:val="18"/>
                <w:szCs w:val="18"/>
              </w:rPr>
              <w:t xml:space="preserve">Steps 3-9</w:t>
            </w:r>
          </w:p>
        </w:tc>
        <w:tc>
          <w:tcPr>
            <w:tcW w:type="pct" w:w="20%"/>
          </w:tcPr>
          <w:p>
            <w:r>
              <w:rPr>
                <w:b w:val="false"/>
                <w:bCs w:val="false"/>
                <w:sz w:val="18"/>
                <w:szCs w:val="18"/>
              </w:rPr>
              <w:t xml:space="preserve">Infection Control Nurse, or a trained and validated observer, conducts the compliance observation, calculates the rates, feeds them back to the area and assesses staff reporting hand dermatitis; housekeeping checks and refills every dispenser at the start of each shift and keeps the log; hospital leadership of HMP Foundation funds the handrub, soap, single-use towels and the hands-free taps, and is accountable for completing the operation theatre scrub tap conversion; engineering installs and maintains the taps and basins; head of each clinical department and nursing in-charge act on the compliance result for their own area; every member of staff is responsible for performing hand hygiene at all five moments; ICC sets the target, receives the rates and the dispenser incidents, and tracks corrective actions to closure</w:t>
            </w:r>
          </w:p>
        </w:tc>
      </w:tr>
      <w:tr>
        <w:tc>
          <w:tcPr>
            <w:tcW w:type="pct" w:w="15%"/>
          </w:tcPr>
          <w:p>
            <w:r>
              <w:rPr>
                <w:b w:val="false"/>
                <w:bCs w:val="false"/>
                <w:sz w:val="18"/>
                <w:szCs w:val="18"/>
              </w:rPr>
              <w:t xml:space="preserve">HIC.2.c</w:t>
            </w:r>
          </w:p>
        </w:tc>
        <w:tc>
          <w:tcPr>
            <w:tcW w:type="pct" w:w="45%"/>
          </w:tcPr>
          <w:p>
            <w:r>
              <w:rPr>
                <w:b w:val="false"/>
                <w:bCs w:val="false"/>
                <w:sz w:val="18"/>
                <w:szCs w:val="18"/>
              </w:rPr>
              <w:t xml:space="preserve">Adherence to transmission-based precautions</w:t>
            </w:r>
          </w:p>
        </w:tc>
        <w:tc>
          <w:tcPr>
            <w:tcW w:type="pct" w:w="20%"/>
          </w:tcPr>
          <w:p>
            <w:r>
              <w:rPr>
                <w:b w:val="false"/>
                <w:bCs w:val="false"/>
                <w:sz w:val="18"/>
                <w:szCs w:val="18"/>
              </w:rPr>
              <w:t xml:space="preserve">Steps 15-19</w:t>
            </w:r>
          </w:p>
        </w:tc>
        <w:tc>
          <w:tcPr>
            <w:tcW w:type="pct" w:w="20%"/>
          </w:tcPr>
          <w:p>
            <w:r>
              <w:rPr>
                <w:b w:val="false"/>
                <w:bCs w:val="false"/>
                <w:sz w:val="18"/>
                <w:szCs w:val="18"/>
              </w:rPr>
              <w:t xml:space="preserve">Any doctor or nurse of HMP Foundation may initiate transmission-based precautions on clinical suspicion without prior authorisation, and is expected to do so rather than wait for confirmation; Infection Control Nurse confirms or modifies the category, maintains the precaution assignment register, performs the periodic category review at the stated interval and on any change of condition or new microbiology result, sets the criterion for organisms not named in step 19, and audits adherence; treating doctor is accountable for the clinical decision to discontinue, for recording the basis relied on, and for recording and notifying any departure from a standing criterion; nursing in-charge of each area is accountable for the entrance card being displayed and correct, for the PPE required by the category being available at the point of entry, and for briefing visitors; head of each clinical department is accountable for compliance within their own area; engineering maintains and monitors the AIIR pressure differential, air change rate and exhaust or HEPA arrangement and records each verification; occupational health runs the respiratory protection programme including fit-testing and periodic re-fit-testing, and determines staff immunity for measles and chickenpox; housekeeping performs and records the increased-frequency cleaning during precautions and the terminal clean on discontinuation or discharge; the receiving department is accountable for being ready for a patient notified as being under precautions; hospital leadership of HMP Foundation provides isolation capability and the AIIR provision or the recorded alternative arrangement; ICC approves the standing discontinuation criteria and the MDRO duration decision, reviews the register and tracks corrective actions to closure</w:t>
            </w:r>
          </w:p>
        </w:tc>
      </w:tr>
      <w:tr>
        <w:tc>
          <w:tcPr>
            <w:tcW w:type="pct" w:w="15%"/>
          </w:tcPr>
          <w:p>
            <w:r>
              <w:rPr>
                <w:b w:val="false"/>
                <w:bCs w:val="false"/>
                <w:sz w:val="18"/>
                <w:szCs w:val="18"/>
              </w:rPr>
              <w:t xml:space="preserve">HIC.2.d</w:t>
            </w:r>
          </w:p>
        </w:tc>
        <w:tc>
          <w:tcPr>
            <w:tcW w:type="pct" w:w="45%"/>
          </w:tcPr>
          <w:p>
            <w:r>
              <w:rPr>
                <w:b w:val="false"/>
                <w:bCs w:val="false"/>
                <w:sz w:val="18"/>
                <w:szCs w:val="18"/>
              </w:rPr>
              <w:t xml:space="preserve">Adherence to safe injection and infusion practices</w:t>
            </w:r>
          </w:p>
        </w:tc>
        <w:tc>
          <w:tcPr>
            <w:tcW w:type="pct" w:w="20%"/>
          </w:tcPr>
          <w:p>
            <w:r>
              <w:rPr>
                <w:b w:val="false"/>
                <w:bCs w:val="false"/>
                <w:sz w:val="18"/>
                <w:szCs w:val="18"/>
              </w:rPr>
              <w:t xml:space="preserve">Steps 20-22</w:t>
            </w:r>
          </w:p>
        </w:tc>
        <w:tc>
          <w:tcPr>
            <w:tcW w:type="pct" w:w="20%"/>
          </w:tcPr>
          <w:p>
            <w:r>
              <w:rPr>
                <w:b w:val="false"/>
                <w:bCs w:val="false"/>
                <w:sz w:val="18"/>
                <w:szCs w:val="18"/>
              </w:rPr>
              <w:t xml:space="preserve">Every member of staff who prepares or administers an injection is accountable for the one needle, one syringe, one patient, one time rule at the point of use; nursing in-charge of each area is accountable for the designated preparation area, for labelling discipline and for the shift-wise device site inspections being performed and recorded; treating clinicians review the continued need for every intravascular device at each daily round and remove it when no longer needed; pharmacy is accountable for supplying single-dose presentations where they exist and for the beyond-use dating of multi-dose vials; Infection Control Nurse audits injection, vial and bundle practice and reports the results; hospital leadership of HMP Foundation funds safety-engineered devices and single-dose presentations; ICC receives the bundle audit results and tracks corrective actions to closure</w:t>
            </w:r>
          </w:p>
        </w:tc>
      </w:tr>
      <w:tr>
        <w:tc>
          <w:tcPr>
            <w:tcW w:type="pct" w:w="15%"/>
          </w:tcPr>
          <w:p>
            <w:r>
              <w:rPr>
                <w:b w:val="false"/>
                <w:bCs w:val="false"/>
                <w:sz w:val="18"/>
                <w:szCs w:val="18"/>
              </w:rPr>
              <w:t xml:space="preserve">HIC.2.e</w:t>
            </w:r>
          </w:p>
        </w:tc>
        <w:tc>
          <w:tcPr>
            <w:tcW w:type="pct" w:w="45%"/>
          </w:tcPr>
          <w:p>
            <w:r>
              <w:rPr>
                <w:b w:val="false"/>
                <w:bCs w:val="false"/>
                <w:sz w:val="18"/>
                <w:szCs w:val="18"/>
              </w:rPr>
              <w:t xml:space="preserve">Antimicrobial usage policy is established and documented</w:t>
            </w:r>
          </w:p>
        </w:tc>
        <w:tc>
          <w:tcPr>
            <w:tcW w:type="pct" w:w="20%"/>
          </w:tcPr>
          <w:p>
            <w:r>
              <w:rPr>
                <w:b w:val="false"/>
                <w:bCs w:val="false"/>
                <w:sz w:val="18"/>
                <w:szCs w:val="18"/>
              </w:rPr>
              <w:t xml:space="preserve">Steps 27-28</w:t>
            </w:r>
          </w:p>
        </w:tc>
        <w:tc>
          <w:tcPr>
            <w:tcW w:type="pct" w:w="20%"/>
          </w:tcPr>
          <w:p>
            <w:r>
              <w:rPr>
                <w:b w:val="false"/>
                <w:bCs w:val="false"/>
                <w:sz w:val="18"/>
                <w:szCs w:val="18"/>
              </w:rPr>
              <w:t xml:space="preserve">ICC approves the antimicrobial usage policy and every revision to it, and minutes the approval; pharmacy and the medical committee approve it jointly with the ICC and maintain the restricted agent list; the microbiology laboratory of HMP Foundation produces the cumulative antibiogram at least annually on which the empirical regimens depend; head of each clinical department ensures the current policy is available in the area and that every prescriber has acknowledged it at induction; every prescriber is accountable for prescribing within the policy; hospital leadership funds the pharmacy and laboratory capability the policy relies on</w:t>
            </w:r>
          </w:p>
        </w:tc>
      </w:tr>
      <w:tr>
        <w:tc>
          <w:tcPr>
            <w:tcW w:type="pct" w:w="15%"/>
          </w:tcPr>
          <w:p>
            <w:r>
              <w:rPr>
                <w:b w:val="false"/>
                <w:bCs w:val="false"/>
                <w:sz w:val="18"/>
                <w:szCs w:val="18"/>
              </w:rPr>
              <w:t xml:space="preserve">HIC.2.f</w:t>
            </w:r>
          </w:p>
        </w:tc>
        <w:tc>
          <w:tcPr>
            <w:tcW w:type="pct" w:w="45%"/>
          </w:tcPr>
          <w:p>
            <w:r>
              <w:rPr>
                <w:b w:val="false"/>
                <w:bCs w:val="false"/>
                <w:sz w:val="18"/>
                <w:szCs w:val="18"/>
              </w:rPr>
              <w:t xml:space="preserve">Implementation and monitoring of the antimicrobial usage policy</w:t>
            </w:r>
          </w:p>
        </w:tc>
        <w:tc>
          <w:tcPr>
            <w:tcW w:type="pct" w:w="20%"/>
          </w:tcPr>
          <w:p>
            <w:r>
              <w:rPr>
                <w:b w:val="false"/>
                <w:bCs w:val="false"/>
                <w:sz w:val="18"/>
                <w:szCs w:val="18"/>
              </w:rPr>
              <w:t xml:space="preserve">Step 28</w:t>
            </w:r>
          </w:p>
        </w:tc>
        <w:tc>
          <w:tcPr>
            <w:tcW w:type="pct" w:w="20%"/>
          </w:tcPr>
          <w:p>
            <w:r>
              <w:rPr>
                <w:b w:val="false"/>
                <w:bCs w:val="false"/>
                <w:sz w:val="18"/>
                <w:szCs w:val="18"/>
              </w:rPr>
              <w:t xml:space="preserve">Ward pharmacist queries every non-compliant order before dispensing and maintains the restricted antimicrobial approval register; pharmacy produces the consumption reports in defined daily doses per 100 bed-days at the stated frequency; Infection Control Nurse and the pharmacy jointly conduct the prescription audits and deliver prescriber feedback; every prescriber is accountable for recording indication, dose, route and a stop or review date, and for responding to feedback; head of each clinical department is accountable for prescribing practice in their own area; ICC receives the consumption, audit and resistance data at every meeting, records named corrective actions with owners and due dates, and verifies their closure</w:t>
            </w:r>
          </w:p>
        </w:tc>
      </w:tr>
      <w:tr>
        <w:tc>
          <w:tcPr>
            <w:tcW w:type="pct" w:w="15%"/>
          </w:tcPr>
          <w:p>
            <w:r>
              <w:rPr>
                <w:b w:val="false"/>
                <w:bCs w:val="false"/>
                <w:sz w:val="18"/>
                <w:szCs w:val="18"/>
              </w:rPr>
              <w:t xml:space="preserve">HIC.2.g</w:t>
            </w:r>
          </w:p>
        </w:tc>
        <w:tc>
          <w:tcPr>
            <w:tcW w:type="pct" w:w="45%"/>
          </w:tcPr>
          <w:p>
            <w:r>
              <w:rPr>
                <w:b w:val="false"/>
                <w:bCs w:val="false"/>
                <w:sz w:val="18"/>
                <w:szCs w:val="18"/>
              </w:rPr>
              <w:t xml:space="preserve">Antibiotic stewardship programme (Excellence level)</w:t>
            </w:r>
          </w:p>
        </w:tc>
        <w:tc>
          <w:tcPr>
            <w:tcW w:type="pct" w:w="20%"/>
          </w:tcPr>
          <w:p>
            <w:r>
              <w:rPr>
                <w:b w:val="false"/>
                <w:bCs w:val="false"/>
                <w:sz w:val="18"/>
                <w:szCs w:val="18"/>
              </w:rPr>
              <w:t xml:space="preserve">Step 29</w:t>
            </w:r>
          </w:p>
        </w:tc>
        <w:tc>
          <w:tcPr>
            <w:tcW w:type="pct" w:w="20%"/>
          </w:tcPr>
          <w:p>
            <w:r>
              <w:rPr>
                <w:b w:val="false"/>
                <w:bCs w:val="false"/>
                <w:sz w:val="18"/>
                <w:szCs w:val="18"/>
              </w:rPr>
              <w:t xml:space="preserve">Senior management of HMP Foundation commits the staff time, information technology and budget in writing, and receives the trend reports; the named AST lead, a physician with infectious disease or microbiology expertise, is accountable for the programme's outcomes; the named co-leading pharmacist is accountable for pharmacy expertise and for improvement in antimicrobial use; Infection Control Nurse sits on the AST and links stewardship data to infection surveillance; AST performs the prospective audit and feedback, issues written recommendations to prescribers, and tracks the process and outcome measures; treating clinicians complete the 48 to 72 hour antibiotic time-out and respond to AST recommendations; ICC receives the programme's reports alongside the antimicrobial usage policy monitoring</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ABHR</w:t>
            </w:r>
          </w:p>
        </w:tc>
        <w:tc>
          <w:tcPr>
            <w:tcW w:type="pct" w:w="75%"/>
          </w:tcPr>
          <w:p>
            <w:r>
              <w:rPr>
                <w:b w:val="false"/>
                <w:bCs w:val="false"/>
                <w:sz w:val="18"/>
                <w:szCs w:val="18"/>
              </w:rPr>
              <w:t xml:space="preserve">Alcohol-Based Hand Rub</w:t>
            </w:r>
          </w:p>
        </w:tc>
      </w:tr>
      <w:tr>
        <w:tc>
          <w:tcPr>
            <w:tcW w:type="pct" w:w="25%"/>
          </w:tcPr>
          <w:p>
            <w:r>
              <w:rPr>
                <w:b w:val="false"/>
                <w:bCs w:val="false"/>
                <w:sz w:val="18"/>
                <w:szCs w:val="18"/>
              </w:rPr>
              <w:t xml:space="preserve">ACH</w:t>
            </w:r>
          </w:p>
        </w:tc>
        <w:tc>
          <w:tcPr>
            <w:tcW w:type="pct" w:w="75%"/>
          </w:tcPr>
          <w:p>
            <w:r>
              <w:rPr>
                <w:b w:val="false"/>
                <w:bCs w:val="false"/>
                <w:sz w:val="18"/>
                <w:szCs w:val="18"/>
              </w:rPr>
              <w:t xml:space="preserve">Air Changes per Hour</w:t>
            </w:r>
          </w:p>
        </w:tc>
      </w:tr>
      <w:tr>
        <w:tc>
          <w:tcPr>
            <w:tcW w:type="pct" w:w="25%"/>
          </w:tcPr>
          <w:p>
            <w:r>
              <w:rPr>
                <w:b w:val="false"/>
                <w:bCs w:val="false"/>
                <w:sz w:val="18"/>
                <w:szCs w:val="18"/>
              </w:rPr>
              <w:t xml:space="preserve">AIIR</w:t>
            </w:r>
          </w:p>
        </w:tc>
        <w:tc>
          <w:tcPr>
            <w:tcW w:type="pct" w:w="75%"/>
          </w:tcPr>
          <w:p>
            <w:r>
              <w:rPr>
                <w:b w:val="false"/>
                <w:bCs w:val="false"/>
                <w:sz w:val="18"/>
                <w:szCs w:val="18"/>
              </w:rPr>
              <w:t xml:space="preserve">Airborne Infection Isolation Room</w:t>
            </w:r>
          </w:p>
        </w:tc>
      </w:tr>
      <w:tr>
        <w:tc>
          <w:tcPr>
            <w:tcW w:type="pct" w:w="25%"/>
          </w:tcPr>
          <w:p>
            <w:r>
              <w:rPr>
                <w:b w:val="false"/>
                <w:bCs w:val="false"/>
                <w:sz w:val="18"/>
                <w:szCs w:val="18"/>
              </w:rPr>
              <w:t xml:space="preserve">anti-HBs</w:t>
            </w:r>
          </w:p>
        </w:tc>
        <w:tc>
          <w:tcPr>
            <w:tcW w:type="pct" w:w="75%"/>
          </w:tcPr>
          <w:p>
            <w:r>
              <w:rPr>
                <w:b w:val="false"/>
                <w:bCs w:val="false"/>
                <w:sz w:val="18"/>
                <w:szCs w:val="18"/>
              </w:rPr>
              <w:t xml:space="preserve">Antibody to Hepatitis B surface antigen</w:t>
            </w:r>
          </w:p>
        </w:tc>
      </w:tr>
      <w:tr>
        <w:tc>
          <w:tcPr>
            <w:tcW w:type="pct" w:w="25%"/>
          </w:tcPr>
          <w:p>
            <w:r>
              <w:rPr>
                <w:b w:val="false"/>
                <w:bCs w:val="false"/>
                <w:sz w:val="18"/>
                <w:szCs w:val="18"/>
              </w:rPr>
              <w:t xml:space="preserve">ASP</w:t>
            </w:r>
          </w:p>
        </w:tc>
        <w:tc>
          <w:tcPr>
            <w:tcW w:type="pct" w:w="75%"/>
          </w:tcPr>
          <w:p>
            <w:r>
              <w:rPr>
                <w:b w:val="false"/>
                <w:bCs w:val="false"/>
                <w:sz w:val="18"/>
                <w:szCs w:val="18"/>
              </w:rPr>
              <w:t xml:space="preserve">Antibiotic Stewardship Programme</w:t>
            </w:r>
          </w:p>
        </w:tc>
      </w:tr>
      <w:tr>
        <w:tc>
          <w:tcPr>
            <w:tcW w:type="pct" w:w="25%"/>
          </w:tcPr>
          <w:p>
            <w:r>
              <w:rPr>
                <w:b w:val="false"/>
                <w:bCs w:val="false"/>
                <w:sz w:val="18"/>
                <w:szCs w:val="18"/>
              </w:rPr>
              <w:t xml:space="preserve">AST</w:t>
            </w:r>
          </w:p>
        </w:tc>
        <w:tc>
          <w:tcPr>
            <w:tcW w:type="pct" w:w="75%"/>
          </w:tcPr>
          <w:p>
            <w:r>
              <w:rPr>
                <w:b w:val="false"/>
                <w:bCs w:val="false"/>
                <w:sz w:val="18"/>
                <w:szCs w:val="18"/>
              </w:rPr>
              <w:t xml:space="preserve">Antimicrobial Stewardship Team</w:t>
            </w:r>
          </w:p>
        </w:tc>
      </w:tr>
      <w:tr>
        <w:tc>
          <w:tcPr>
            <w:tcW w:type="pct" w:w="25%"/>
          </w:tcPr>
          <w:p>
            <w:r>
              <w:rPr>
                <w:b w:val="false"/>
                <w:bCs w:val="false"/>
                <w:sz w:val="18"/>
                <w:szCs w:val="18"/>
              </w:rPr>
              <w:t xml:space="preserve">ATC</w:t>
            </w:r>
          </w:p>
        </w:tc>
        <w:tc>
          <w:tcPr>
            <w:tcW w:type="pct" w:w="75%"/>
          </w:tcPr>
          <w:p>
            <w:r>
              <w:rPr>
                <w:b w:val="false"/>
                <w:bCs w:val="false"/>
                <w:sz w:val="18"/>
                <w:szCs w:val="18"/>
              </w:rPr>
              <w:t xml:space="preserve">Anatomical Therapeutic Chemical (classification system)</w:t>
            </w:r>
          </w:p>
        </w:tc>
      </w:tr>
      <w:tr>
        <w:tc>
          <w:tcPr>
            <w:tcW w:type="pct" w:w="25%"/>
          </w:tcPr>
          <w:p>
            <w:r>
              <w:rPr>
                <w:b w:val="false"/>
                <w:bCs w:val="false"/>
                <w:sz w:val="18"/>
                <w:szCs w:val="18"/>
              </w:rPr>
              <w:t xml:space="preserve">AWaRe</w:t>
            </w:r>
          </w:p>
        </w:tc>
        <w:tc>
          <w:tcPr>
            <w:tcW w:type="pct" w:w="75%"/>
          </w:tcPr>
          <w:p>
            <w:r>
              <w:rPr>
                <w:b w:val="false"/>
                <w:bCs w:val="false"/>
                <w:sz w:val="18"/>
                <w:szCs w:val="18"/>
              </w:rPr>
              <w:t xml:space="preserve">Access, Watch, Reserve (WHO antibiotic classification)</w:t>
            </w:r>
          </w:p>
        </w:tc>
      </w:tr>
      <w:tr>
        <w:tc>
          <w:tcPr>
            <w:tcW w:type="pct" w:w="25%"/>
          </w:tcPr>
          <w:p>
            <w:r>
              <w:rPr>
                <w:b w:val="false"/>
                <w:bCs w:val="false"/>
                <w:sz w:val="18"/>
                <w:szCs w:val="18"/>
              </w:rPr>
              <w:t xml:space="preserve">BMW</w:t>
            </w:r>
          </w:p>
        </w:tc>
        <w:tc>
          <w:tcPr>
            <w:tcW w:type="pct" w:w="75%"/>
          </w:tcPr>
          <w:p>
            <w:r>
              <w:rPr>
                <w:b w:val="false"/>
                <w:bCs w:val="false"/>
                <w:sz w:val="18"/>
                <w:szCs w:val="18"/>
              </w:rPr>
              <w:t xml:space="preserve">Bio-Medical Waste</w:t>
            </w:r>
          </w:p>
        </w:tc>
      </w:tr>
      <w:tr>
        <w:tc>
          <w:tcPr>
            <w:tcW w:type="pct" w:w="25%"/>
          </w:tcPr>
          <w:p>
            <w:r>
              <w:rPr>
                <w:b w:val="false"/>
                <w:bCs w:val="false"/>
                <w:sz w:val="18"/>
                <w:szCs w:val="18"/>
              </w:rPr>
              <w:t xml:space="preserve">CAUTI</w:t>
            </w:r>
          </w:p>
        </w:tc>
        <w:tc>
          <w:tcPr>
            <w:tcW w:type="pct" w:w="75%"/>
          </w:tcPr>
          <w:p>
            <w:r>
              <w:rPr>
                <w:b w:val="false"/>
                <w:bCs w:val="false"/>
                <w:sz w:val="18"/>
                <w:szCs w:val="18"/>
              </w:rPr>
              <w:t xml:space="preserve">Catheter-Associated Urinary Tract Infection</w:t>
            </w:r>
          </w:p>
        </w:tc>
      </w:tr>
      <w:tr>
        <w:tc>
          <w:tcPr>
            <w:tcW w:type="pct" w:w="25%"/>
          </w:tcPr>
          <w:p>
            <w:r>
              <w:rPr>
                <w:b w:val="false"/>
                <w:bCs w:val="false"/>
                <w:sz w:val="18"/>
                <w:szCs w:val="18"/>
              </w:rPr>
              <w:t xml:space="preserve">CDC</w:t>
            </w:r>
          </w:p>
        </w:tc>
        <w:tc>
          <w:tcPr>
            <w:tcW w:type="pct" w:w="75%"/>
          </w:tcPr>
          <w:p>
            <w:r>
              <w:rPr>
                <w:b w:val="false"/>
                <w:bCs w:val="false"/>
                <w:sz w:val="18"/>
                <w:szCs w:val="18"/>
              </w:rPr>
              <w:t xml:space="preserve">Centers for Disease Control and Prevention</w:t>
            </w:r>
          </w:p>
        </w:tc>
      </w:tr>
      <w:tr>
        <w:tc>
          <w:tcPr>
            <w:tcW w:type="pct" w:w="25%"/>
          </w:tcPr>
          <w:p>
            <w:r>
              <w:rPr>
                <w:b w:val="false"/>
                <w:bCs w:val="false"/>
                <w:sz w:val="18"/>
                <w:szCs w:val="18"/>
              </w:rPr>
              <w:t xml:space="preserve">CLABSI</w:t>
            </w:r>
          </w:p>
        </w:tc>
        <w:tc>
          <w:tcPr>
            <w:tcW w:type="pct" w:w="75%"/>
          </w:tcPr>
          <w:p>
            <w:r>
              <w:rPr>
                <w:b w:val="false"/>
                <w:bCs w:val="false"/>
                <w:sz w:val="18"/>
                <w:szCs w:val="18"/>
              </w:rPr>
              <w:t xml:space="preserve">Central Line-Associated Bloodstream Infection</w:t>
            </w:r>
          </w:p>
        </w:tc>
      </w:tr>
      <w:tr>
        <w:tc>
          <w:tcPr>
            <w:tcW w:type="pct" w:w="25%"/>
          </w:tcPr>
          <w:p>
            <w:r>
              <w:rPr>
                <w:b w:val="false"/>
                <w:bCs w:val="false"/>
                <w:sz w:val="18"/>
                <w:szCs w:val="18"/>
              </w:rPr>
              <w:t xml:space="preserve">CPCB</w:t>
            </w:r>
          </w:p>
        </w:tc>
        <w:tc>
          <w:tcPr>
            <w:tcW w:type="pct" w:w="75%"/>
          </w:tcPr>
          <w:p>
            <w:r>
              <w:rPr>
                <w:b w:val="false"/>
                <w:bCs w:val="false"/>
                <w:sz w:val="18"/>
                <w:szCs w:val="18"/>
              </w:rPr>
              <w:t xml:space="preserve">Central Pollution Control Board</w:t>
            </w:r>
          </w:p>
        </w:tc>
      </w:tr>
      <w:tr>
        <w:tc>
          <w:tcPr>
            <w:tcW w:type="pct" w:w="25%"/>
          </w:tcPr>
          <w:p>
            <w:r>
              <w:rPr>
                <w:b w:val="false"/>
                <w:bCs w:val="false"/>
                <w:sz w:val="18"/>
                <w:szCs w:val="18"/>
              </w:rPr>
              <w:t xml:space="preserve">CSSD</w:t>
            </w:r>
          </w:p>
        </w:tc>
        <w:tc>
          <w:tcPr>
            <w:tcW w:type="pct" w:w="75%"/>
          </w:tcPr>
          <w:p>
            <w:r>
              <w:rPr>
                <w:b w:val="false"/>
                <w:bCs w:val="false"/>
                <w:sz w:val="18"/>
                <w:szCs w:val="18"/>
              </w:rPr>
              <w:t xml:space="preserve">Central Sterile Supply Department</w:t>
            </w:r>
          </w:p>
        </w:tc>
      </w:tr>
      <w:tr>
        <w:tc>
          <w:tcPr>
            <w:tcW w:type="pct" w:w="25%"/>
          </w:tcPr>
          <w:p>
            <w:r>
              <w:rPr>
                <w:b w:val="false"/>
                <w:bCs w:val="false"/>
                <w:sz w:val="18"/>
                <w:szCs w:val="18"/>
              </w:rPr>
              <w:t xml:space="preserve">DDD</w:t>
            </w:r>
          </w:p>
        </w:tc>
        <w:tc>
          <w:tcPr>
            <w:tcW w:type="pct" w:w="75%"/>
          </w:tcPr>
          <w:p>
            <w:r>
              <w:rPr>
                <w:b w:val="false"/>
                <w:bCs w:val="false"/>
                <w:sz w:val="18"/>
                <w:szCs w:val="18"/>
              </w:rPr>
              <w:t xml:space="preserve">Defined Daily Dose</w:t>
            </w:r>
          </w:p>
        </w:tc>
      </w:tr>
      <w:tr>
        <w:tc>
          <w:tcPr>
            <w:tcW w:type="pct" w:w="25%"/>
          </w:tcPr>
          <w:p>
            <w:r>
              <w:rPr>
                <w:b w:val="false"/>
                <w:bCs w:val="false"/>
                <w:sz w:val="18"/>
                <w:szCs w:val="18"/>
              </w:rPr>
              <w:t xml:space="preserve">HAI</w:t>
            </w:r>
          </w:p>
        </w:tc>
        <w:tc>
          <w:tcPr>
            <w:tcW w:type="pct" w:w="75%"/>
          </w:tcPr>
          <w:p>
            <w:r>
              <w:rPr>
                <w:b w:val="false"/>
                <w:bCs w:val="false"/>
                <w:sz w:val="18"/>
                <w:szCs w:val="18"/>
              </w:rPr>
              <w:t xml:space="preserve">Healthcare-Associated Infection</w:t>
            </w:r>
          </w:p>
        </w:tc>
      </w:tr>
      <w:tr>
        <w:tc>
          <w:tcPr>
            <w:tcW w:type="pct" w:w="25%"/>
          </w:tcPr>
          <w:p>
            <w:r>
              <w:rPr>
                <w:b w:val="false"/>
                <w:bCs w:val="false"/>
                <w:sz w:val="18"/>
                <w:szCs w:val="18"/>
              </w:rPr>
              <w:t xml:space="preserve">HBIG</w:t>
            </w:r>
          </w:p>
        </w:tc>
        <w:tc>
          <w:tcPr>
            <w:tcW w:type="pct" w:w="75%"/>
          </w:tcPr>
          <w:p>
            <w:r>
              <w:rPr>
                <w:b w:val="false"/>
                <w:bCs w:val="false"/>
                <w:sz w:val="18"/>
                <w:szCs w:val="18"/>
              </w:rPr>
              <w:t xml:space="preserve">Hepatitis B Immune Globulin</w:t>
            </w:r>
          </w:p>
        </w:tc>
      </w:tr>
      <w:tr>
        <w:tc>
          <w:tcPr>
            <w:tcW w:type="pct" w:w="25%"/>
          </w:tcPr>
          <w:p>
            <w:r>
              <w:rPr>
                <w:b w:val="false"/>
                <w:bCs w:val="false"/>
                <w:sz w:val="18"/>
                <w:szCs w:val="18"/>
              </w:rPr>
              <w:t xml:space="preserve">HBV / HCV / HIV</w:t>
            </w:r>
          </w:p>
        </w:tc>
        <w:tc>
          <w:tcPr>
            <w:tcW w:type="pct" w:w="75%"/>
          </w:tcPr>
          <w:p>
            <w:r>
              <w:rPr>
                <w:b w:val="false"/>
                <w:bCs w:val="false"/>
                <w:sz w:val="18"/>
                <w:szCs w:val="18"/>
              </w:rPr>
              <w:t xml:space="preserve">Hepatitis B Virus / Hepatitis C Virus / Human Immunodeficiency Virus</w:t>
            </w:r>
          </w:p>
        </w:tc>
      </w:tr>
      <w:tr>
        <w:tc>
          <w:tcPr>
            <w:tcW w:type="pct" w:w="25%"/>
          </w:tcPr>
          <w:p>
            <w:r>
              <w:rPr>
                <w:b w:val="false"/>
                <w:bCs w:val="false"/>
                <w:sz w:val="18"/>
                <w:szCs w:val="18"/>
              </w:rPr>
              <w:t xml:space="preserve">HEPA</w:t>
            </w:r>
          </w:p>
        </w:tc>
        <w:tc>
          <w:tcPr>
            <w:tcW w:type="pct" w:w="75%"/>
          </w:tcPr>
          <w:p>
            <w:r>
              <w:rPr>
                <w:b w:val="false"/>
                <w:bCs w:val="false"/>
                <w:sz w:val="18"/>
                <w:szCs w:val="18"/>
              </w:rPr>
              <w:t xml:space="preserve">High Efficiency Particulate Air (filter)</w:t>
            </w:r>
          </w:p>
        </w:tc>
      </w:tr>
      <w:tr>
        <w:tc>
          <w:tcPr>
            <w:tcW w:type="pct" w:w="25%"/>
          </w:tcPr>
          <w:p>
            <w:r>
              <w:rPr>
                <w:b w:val="false"/>
                <w:bCs w:val="false"/>
                <w:sz w:val="18"/>
                <w:szCs w:val="18"/>
              </w:rPr>
              <w:t xml:space="preserve">ICC</w:t>
            </w:r>
          </w:p>
        </w:tc>
        <w:tc>
          <w:tcPr>
            <w:tcW w:type="pct" w:w="75%"/>
          </w:tcPr>
          <w:p>
            <w:r>
              <w:rPr>
                <w:b w:val="false"/>
                <w:bCs w:val="false"/>
                <w:sz w:val="18"/>
                <w:szCs w:val="18"/>
              </w:rPr>
              <w:t xml:space="preserve">Infection Control Committee</w:t>
            </w:r>
          </w:p>
        </w:tc>
      </w:tr>
      <w:tr>
        <w:tc>
          <w:tcPr>
            <w:tcW w:type="pct" w:w="25%"/>
          </w:tcPr>
          <w:p>
            <w:r>
              <w:rPr>
                <w:b w:val="false"/>
                <w:bCs w:val="false"/>
                <w:sz w:val="18"/>
                <w:szCs w:val="18"/>
              </w:rPr>
              <w:t xml:space="preserve">ICN</w:t>
            </w:r>
          </w:p>
        </w:tc>
        <w:tc>
          <w:tcPr>
            <w:tcW w:type="pct" w:w="75%"/>
          </w:tcPr>
          <w:p>
            <w:r>
              <w:rPr>
                <w:b w:val="false"/>
                <w:bCs w:val="false"/>
                <w:sz w:val="18"/>
                <w:szCs w:val="18"/>
              </w:rPr>
              <w:t xml:space="preserve">Infection Control Nurse</w:t>
            </w:r>
          </w:p>
        </w:tc>
      </w:tr>
      <w:tr>
        <w:tc>
          <w:tcPr>
            <w:tcW w:type="pct" w:w="25%"/>
          </w:tcPr>
          <w:p>
            <w:r>
              <w:rPr>
                <w:b w:val="false"/>
                <w:bCs w:val="false"/>
                <w:sz w:val="18"/>
                <w:szCs w:val="18"/>
              </w:rPr>
              <w:t xml:space="preserve">ICU</w:t>
            </w:r>
          </w:p>
        </w:tc>
        <w:tc>
          <w:tcPr>
            <w:tcW w:type="pct" w:w="75%"/>
          </w:tcPr>
          <w:p>
            <w:r>
              <w:rPr>
                <w:b w:val="false"/>
                <w:bCs w:val="false"/>
                <w:sz w:val="18"/>
                <w:szCs w:val="18"/>
              </w:rPr>
              <w:t xml:space="preserve">Intensive Care Unit</w:t>
            </w:r>
          </w:p>
        </w:tc>
      </w:tr>
      <w:tr>
        <w:tc>
          <w:tcPr>
            <w:tcW w:type="pct" w:w="25%"/>
          </w:tcPr>
          <w:p>
            <w:r>
              <w:rPr>
                <w:b w:val="false"/>
                <w:bCs w:val="false"/>
                <w:sz w:val="18"/>
                <w:szCs w:val="18"/>
              </w:rPr>
              <w:t xml:space="preserve">IPC</w:t>
            </w:r>
          </w:p>
        </w:tc>
        <w:tc>
          <w:tcPr>
            <w:tcW w:type="pct" w:w="75%"/>
          </w:tcPr>
          <w:p>
            <w:r>
              <w:rPr>
                <w:b w:val="false"/>
                <w:bCs w:val="false"/>
                <w:sz w:val="18"/>
                <w:szCs w:val="18"/>
              </w:rPr>
              <w:t xml:space="preserve">Infection Prevention and Control</w:t>
            </w:r>
          </w:p>
        </w:tc>
      </w:tr>
      <w:tr>
        <w:tc>
          <w:tcPr>
            <w:tcW w:type="pct" w:w="25%"/>
          </w:tcPr>
          <w:p>
            <w:r>
              <w:rPr>
                <w:b w:val="false"/>
                <w:bCs w:val="false"/>
                <w:sz w:val="18"/>
                <w:szCs w:val="18"/>
              </w:rPr>
              <w:t xml:space="preserve">IV</w:t>
            </w:r>
          </w:p>
        </w:tc>
        <w:tc>
          <w:tcPr>
            <w:tcW w:type="pct" w:w="75%"/>
          </w:tcPr>
          <w:p>
            <w:r>
              <w:rPr>
                <w:b w:val="false"/>
                <w:bCs w:val="false"/>
                <w:sz w:val="18"/>
                <w:szCs w:val="18"/>
              </w:rPr>
              <w:t xml:space="preserve">Intravenous</w:t>
            </w:r>
          </w:p>
        </w:tc>
      </w:tr>
      <w:tr>
        <w:tc>
          <w:tcPr>
            <w:tcW w:type="pct" w:w="25%"/>
          </w:tcPr>
          <w:p>
            <w:r>
              <w:rPr>
                <w:b w:val="false"/>
                <w:bCs w:val="false"/>
                <w:sz w:val="18"/>
                <w:szCs w:val="18"/>
              </w:rPr>
              <w:t xml:space="preserve">MDRO</w:t>
            </w:r>
          </w:p>
        </w:tc>
        <w:tc>
          <w:tcPr>
            <w:tcW w:type="pct" w:w="75%"/>
          </w:tcPr>
          <w:p>
            <w:r>
              <w:rPr>
                <w:b w:val="false"/>
                <w:bCs w:val="false"/>
                <w:sz w:val="18"/>
                <w:szCs w:val="18"/>
              </w:rPr>
              <w:t xml:space="preserve">Multidrug-Resistant Organism</w:t>
            </w:r>
          </w:p>
        </w:tc>
      </w:tr>
      <w:tr>
        <w:tc>
          <w:tcPr>
            <w:tcW w:type="pct" w:w="25%"/>
          </w:tcPr>
          <w:p>
            <w:r>
              <w:rPr>
                <w:b w:val="false"/>
                <w:bCs w:val="false"/>
                <w:sz w:val="18"/>
                <w:szCs w:val="18"/>
              </w:rPr>
              <w:t xml:space="preserve">NABH</w:t>
            </w:r>
          </w:p>
        </w:tc>
        <w:tc>
          <w:tcPr>
            <w:tcW w:type="pct" w:w="75%"/>
          </w:tcPr>
          <w:p>
            <w:r>
              <w:rPr>
                <w:b w:val="false"/>
                <w:bCs w:val="false"/>
                <w:sz w:val="18"/>
                <w:szCs w:val="18"/>
              </w:rPr>
              <w:t xml:space="preserve">National Accreditation Board for Hospitals and Healthcare Providers</w:t>
            </w:r>
          </w:p>
        </w:tc>
      </w:tr>
      <w:tr>
        <w:tc>
          <w:tcPr>
            <w:tcW w:type="pct" w:w="25%"/>
          </w:tcPr>
          <w:p>
            <w:r>
              <w:rPr>
                <w:b w:val="false"/>
                <w:bCs w:val="false"/>
                <w:sz w:val="18"/>
                <w:szCs w:val="18"/>
              </w:rPr>
              <w:t xml:space="preserve">NHSN</w:t>
            </w:r>
          </w:p>
        </w:tc>
        <w:tc>
          <w:tcPr>
            <w:tcW w:type="pct" w:w="75%"/>
          </w:tcPr>
          <w:p>
            <w:r>
              <w:rPr>
                <w:b w:val="false"/>
                <w:bCs w:val="false"/>
                <w:sz w:val="18"/>
                <w:szCs w:val="18"/>
              </w:rPr>
              <w:t xml:space="preserve">National Healthcare Safety Network</w:t>
            </w:r>
          </w:p>
        </w:tc>
      </w:tr>
      <w:tr>
        <w:tc>
          <w:tcPr>
            <w:tcW w:type="pct" w:w="25%"/>
          </w:tcPr>
          <w:p>
            <w:r>
              <w:rPr>
                <w:b w:val="false"/>
                <w:bCs w:val="false"/>
                <w:sz w:val="18"/>
                <w:szCs w:val="18"/>
              </w:rPr>
              <w:t xml:space="preserve">NSI</w:t>
            </w:r>
          </w:p>
        </w:tc>
        <w:tc>
          <w:tcPr>
            <w:tcW w:type="pct" w:w="75%"/>
          </w:tcPr>
          <w:p>
            <w:r>
              <w:rPr>
                <w:b w:val="false"/>
                <w:bCs w:val="false"/>
                <w:sz w:val="18"/>
                <w:szCs w:val="18"/>
              </w:rPr>
              <w:t xml:space="preserve">Needlestick Injury</w:t>
            </w:r>
          </w:p>
        </w:tc>
      </w:tr>
      <w:tr>
        <w:tc>
          <w:tcPr>
            <w:tcW w:type="pct" w:w="25%"/>
          </w:tcPr>
          <w:p>
            <w:r>
              <w:rPr>
                <w:b w:val="false"/>
                <w:bCs w:val="false"/>
                <w:sz w:val="18"/>
                <w:szCs w:val="18"/>
              </w:rPr>
              <w:t xml:space="preserve">OT</w:t>
            </w:r>
          </w:p>
        </w:tc>
        <w:tc>
          <w:tcPr>
            <w:tcW w:type="pct" w:w="75%"/>
          </w:tcPr>
          <w:p>
            <w:r>
              <w:rPr>
                <w:b w:val="false"/>
                <w:bCs w:val="false"/>
                <w:sz w:val="18"/>
                <w:szCs w:val="18"/>
              </w:rPr>
              <w:t xml:space="preserve">Operation Theatre</w:t>
            </w:r>
          </w:p>
        </w:tc>
      </w:tr>
      <w:tr>
        <w:tc>
          <w:tcPr>
            <w:tcW w:type="pct" w:w="25%"/>
          </w:tcPr>
          <w:p>
            <w:r>
              <w:rPr>
                <w:b w:val="false"/>
                <w:bCs w:val="false"/>
                <w:sz w:val="18"/>
                <w:szCs w:val="18"/>
              </w:rPr>
              <w:t xml:space="preserve">PEP</w:t>
            </w:r>
          </w:p>
        </w:tc>
        <w:tc>
          <w:tcPr>
            <w:tcW w:type="pct" w:w="75%"/>
          </w:tcPr>
          <w:p>
            <w:r>
              <w:rPr>
                <w:b w:val="false"/>
                <w:bCs w:val="false"/>
                <w:sz w:val="18"/>
                <w:szCs w:val="18"/>
              </w:rPr>
              <w:t xml:space="preserve">Post-Exposure Prophylaxis</w:t>
            </w:r>
          </w:p>
        </w:tc>
      </w:tr>
      <w:tr>
        <w:tc>
          <w:tcPr>
            <w:tcW w:type="pct" w:w="25%"/>
          </w:tcPr>
          <w:p>
            <w:r>
              <w:rPr>
                <w:b w:val="false"/>
                <w:bCs w:val="false"/>
                <w:sz w:val="18"/>
                <w:szCs w:val="18"/>
              </w:rPr>
              <w:t xml:space="preserve">PPE</w:t>
            </w:r>
          </w:p>
        </w:tc>
        <w:tc>
          <w:tcPr>
            <w:tcW w:type="pct" w:w="75%"/>
          </w:tcPr>
          <w:p>
            <w:r>
              <w:rPr>
                <w:b w:val="false"/>
                <w:bCs w:val="false"/>
                <w:sz w:val="18"/>
                <w:szCs w:val="18"/>
              </w:rPr>
              <w:t xml:space="preserve">Personal Protective Equipment</w:t>
            </w:r>
          </w:p>
        </w:tc>
      </w:tr>
      <w:tr>
        <w:tc>
          <w:tcPr>
            <w:tcW w:type="pct" w:w="25%"/>
          </w:tcPr>
          <w:p>
            <w:r>
              <w:rPr>
                <w:b w:val="false"/>
                <w:bCs w:val="false"/>
                <w:sz w:val="18"/>
                <w:szCs w:val="18"/>
              </w:rPr>
              <w:t xml:space="preserve">SOP</w:t>
            </w:r>
          </w:p>
        </w:tc>
        <w:tc>
          <w:tcPr>
            <w:tcW w:type="pct" w:w="75%"/>
          </w:tcPr>
          <w:p>
            <w:r>
              <w:rPr>
                <w:b w:val="false"/>
                <w:bCs w:val="false"/>
                <w:sz w:val="18"/>
                <w:szCs w:val="18"/>
              </w:rPr>
              <w:t xml:space="preserve">Standard Operating Procedure</w:t>
            </w:r>
          </w:p>
        </w:tc>
      </w:tr>
      <w:tr>
        <w:tc>
          <w:tcPr>
            <w:tcW w:type="pct" w:w="25%"/>
          </w:tcPr>
          <w:p>
            <w:r>
              <w:rPr>
                <w:b w:val="false"/>
                <w:bCs w:val="false"/>
                <w:sz w:val="18"/>
                <w:szCs w:val="18"/>
              </w:rPr>
              <w:t xml:space="preserve">SSI</w:t>
            </w:r>
          </w:p>
        </w:tc>
        <w:tc>
          <w:tcPr>
            <w:tcW w:type="pct" w:w="75%"/>
          </w:tcPr>
          <w:p>
            <w:r>
              <w:rPr>
                <w:b w:val="false"/>
                <w:bCs w:val="false"/>
                <w:sz w:val="18"/>
                <w:szCs w:val="18"/>
              </w:rPr>
              <w:t xml:space="preserve">Surgical Site Infection</w:t>
            </w:r>
          </w:p>
        </w:tc>
      </w:tr>
      <w:tr>
        <w:tc>
          <w:tcPr>
            <w:tcW w:type="pct" w:w="25%"/>
          </w:tcPr>
          <w:p>
            <w:r>
              <w:rPr>
                <w:b w:val="false"/>
                <w:bCs w:val="false"/>
                <w:sz w:val="18"/>
                <w:szCs w:val="18"/>
              </w:rPr>
              <w:t xml:space="preserve">Td / TT</w:t>
            </w:r>
          </w:p>
        </w:tc>
        <w:tc>
          <w:tcPr>
            <w:tcW w:type="pct" w:w="75%"/>
          </w:tcPr>
          <w:p>
            <w:r>
              <w:rPr>
                <w:b w:val="false"/>
                <w:bCs w:val="false"/>
                <w:sz w:val="18"/>
                <w:szCs w:val="18"/>
              </w:rPr>
              <w:t xml:space="preserve">Tetanus-diphtheria toxoid / Tetanus Toxoid</w:t>
            </w:r>
          </w:p>
        </w:tc>
      </w:tr>
      <w:tr>
        <w:tc>
          <w:tcPr>
            <w:tcW w:type="pct" w:w="25%"/>
          </w:tcPr>
          <w:p>
            <w:r>
              <w:rPr>
                <w:b w:val="false"/>
                <w:bCs w:val="false"/>
                <w:sz w:val="18"/>
                <w:szCs w:val="18"/>
              </w:rPr>
              <w:t xml:space="preserve">VAE / VAP</w:t>
            </w:r>
          </w:p>
        </w:tc>
        <w:tc>
          <w:tcPr>
            <w:tcW w:type="pct" w:w="75%"/>
          </w:tcPr>
          <w:p>
            <w:r>
              <w:rPr>
                <w:b w:val="false"/>
                <w:bCs w:val="false"/>
                <w:sz w:val="18"/>
                <w:szCs w:val="18"/>
              </w:rPr>
              <w:t xml:space="preserve">Ventilator-Associated Event / Ventilator-Associated Pneumonia</w:t>
            </w:r>
          </w:p>
        </w:tc>
      </w:tr>
      <w:tr>
        <w:tc>
          <w:tcPr>
            <w:tcW w:type="pct" w:w="25%"/>
          </w:tcPr>
          <w:p>
            <w:r>
              <w:rPr>
                <w:b w:val="false"/>
                <w:bCs w:val="false"/>
                <w:sz w:val="18"/>
                <w:szCs w:val="18"/>
              </w:rPr>
              <w:t xml:space="preserve">WHO</w:t>
            </w:r>
          </w:p>
        </w:tc>
        <w:tc>
          <w:tcPr>
            <w:tcW w:type="pct" w:w="75%"/>
          </w:tcPr>
          <w:p>
            <w:r>
              <w:rPr>
                <w:b w:val="false"/>
                <w:bCs w:val="false"/>
                <w:sz w:val="18"/>
                <w:szCs w:val="18"/>
              </w:rPr>
              <w:t xml:space="preserve">World Health Organization</w:t>
            </w:r>
          </w:p>
        </w:tc>
      </w:tr>
    </w:tbl>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prevents the transmission of infection to patients, staff, visitors and the wider community during the delivery of care in clinical areas. It translates the infection prevention and control programme of HMP Foundation into working instructions covering standard precautions, hand hygiene, transmission-based precautions, safe injection and infusion practice, protection of staff before and after occupational exposure, and the controlled use of antimicrobial agents.
The intent is threefold: to make the expected behaviour unambiguous for every person who works in or enters a clinical area; to reduce healthcare-associated infection and the emergence of antimicrobial resistance within HMP Foundation; and to generate the records that demonstrate the programme is genuinely operating in practice rather than existing only on paper.</w:t>
      </w:r>
    </w:p>
    <w:p>
      <w:pPr>
        <w:pStyle w:val="Heading1"/>
        <w:spacing w:after="150" w:before="300"/>
      </w:pPr>
      <w:r>
        <w:t xml:space="preserve">2. Scope</w:t>
      </w:r>
    </w:p>
    <w:p>
      <w:pPr>
        <w:spacing w:after="150"/>
      </w:pPr>
      <w:r>
        <w:rPr>
          <w:sz w:val="22"/>
          <w:szCs w:val="22"/>
        </w:rPr>
        <w:t xml:space="preserve">This policy applies across every clinical and clinical-support area of HMP Foundation, including inpatient wards, intensive and high-dependency areas, operation theatres and procedure rooms, the labour room, emergency and casualty, outpatient consulting and treatment rooms, dialysis, day-care, imaging and interventional suites, laboratory specimen-handling areas, central sterile supply, and pharmacy medication-preparation areas — in short, anywhere invasive procedures, injections or infusions are performed or patients receive direct care.
It applies to all doctors including visiting and honorary consultants, nurses, technicians, therapists, pharmacists, housekeeping and sanitation staff, dietary staff, security staff, biomedical and maintenance personnel, students and trainees on clinical attachment, and contracted or outsourced personnel working within these areas. The provisions on hand hygiene, respiratory hygiene and compliance with precaution signage extend to patients, attendants and visitors.
The provisions on staff immunisation and on management of occupational exposure apply to every person engaged by HMP Foundation, whether directly employed or contracted, who may come into contact with blood, body fluids, biomedical waste or food. The sections on antimicrobial usage and antibiotic stewardship apply to every prescriber at HMP Foundation and to the hospital pharmacy.</w:t>
      </w:r>
    </w:p>
    <w:p>
      <w:pPr>
        <w:pStyle w:val="Heading1"/>
        <w:spacing w:after="150" w:before="300"/>
      </w:pPr>
      <w:r>
        <w:t xml:space="preserve">3. Policy Statement</w:t>
      </w:r>
    </w:p>
    <w:p>
      <w:pPr>
        <w:spacing w:after="150"/>
      </w:pPr>
      <w:r>
        <w:rPr>
          <w:sz w:val="22"/>
          <w:szCs w:val="22"/>
        </w:rPr>
        <w:t xml:space="preserve">HMP Foundation treats infection prevention and control as a condition of practising in a clinical area, not as an additional task that competes with clinical work.
HMP Foundation applies standard precautions to every patient during every episode of care, at all times, without reference to the patient's diagnosis, presumed risk or infection status. Where an agent is known or suspected that standard precautions alone will not contain, transmission-based precautions are applied in addition — contact, droplet or airborne as the route of transmission requires, and in combination where more than one route applies.
HMP Foundation adopts the World Health Organization's five moments and its published handrub and handwash techniques as the hospital standard, provides the facilities and consumables that make compliance physically possible at the point of care, and measures compliance by direct observation so that the figure reported is an observed one.
Every injection and infusion at HMP Foundation is prepared and given aseptically on the principle of one needle, one syringe, one patient, one time. Sharps are disposed of by the person who used them, at the point of use, into a puncture-proof container. Blood and body fluid spills are contained and decontaminated immediately by the staff of the area in which they occur. Biomedical waste is segregated at the point of generation into the colour-coded streams required by the Bio-Medical Waste Management Rules, 2016.
HMP Foundation protects its own staff as well as its patients. Vaccination against hepatitis B is offered to everyone with potential exposure to blood or body fluids, at no cost to the individual and before exposure rather than after it, and occupational exposures are managed as time-critical events under a defined post-exposure protocol.
HMP Foundation maintains a written antimicrobial usage policy that is approved, dated, version-controlled, available in every clinical area and built on the hospital's own antibiogram. Prescribing is monitored against that policy, restricted agents are dispensed only against a recorded authorisation, and consumption and resistance trends are reviewed by the Infection Control Committee. Where HMP Foundation operates an antibiotic stewardship programme, it is run against the recognised core elements of hospital stewardship and produces measurable outcome data. Surveillance of healthcare-associated infection is conducted using standard published case definitions, so that the effect of these practices is measured rather than assumed.
Every member of staff at HMP Foundation is individually responsible for compliance with this policy and is empowered to stop and to challenge an unsafe practice, irrespective of the seniority of the person performing it, without fear of adverse consequence. Reporting a breach, a sharps injury, a spill or a near miss is treated as a system-improvement input; the response is directed at correcting the cause rather than penalising the individual, except in cases of wilful or repeated disregard.</w:t>
      </w:r>
    </w:p>
    <w:p>
      <w:pPr>
        <w:pStyle w:val="Heading1"/>
        <w:spacing w:after="150" w:before="300"/>
      </w:pPr>
      <w:r>
        <w:t xml:space="preserve">4. Procedure</w:t>
      </w:r>
    </w:p>
    <w:p>
      <w:pPr>
        <w:spacing w:after="90" w:before="240"/>
      </w:pPr>
      <w:r>
        <w:rPr>
          <w:b/>
          <w:bCs/>
          <w:sz w:val="23"/>
          <w:szCs w:val="23"/>
        </w:rPr>
        <w:t xml:space="preserve">1. Governance and ownership of the programme</w:t>
      </w:r>
    </w:p>
    <w:p>
      <w:pPr>
        <w:spacing w:after="120"/>
      </w:pPr>
      <w:r>
        <w:rPr>
          <w:sz w:val="22"/>
          <w:szCs w:val="22"/>
        </w:rPr>
        <w:t xml:space="preserve">The Infection Control Committee (ICC) of HMP Foundation owns this policy and is accountable for the programme described in it. An Infection Control Nurse (ICN) or equivalent designated officer runs it day to day. The ICC constitution, chairperson, member roles, quorum and meeting frequency are recorded separately in the committee terms of reference — [Hospital to define]. Every clinical area of HMP Foundation nominates a link nurse or link person who acts as the local point of contact for infection control matters and who escalates observed breaches without waiting for a scheduled meeting.</w:t>
      </w:r>
    </w:p>
    <w:p>
      <w:pPr>
        <w:spacing w:after="90" w:before="240"/>
      </w:pPr>
      <w:r>
        <w:rPr>
          <w:b/>
          <w:bCs/>
          <w:sz w:val="23"/>
          <w:szCs w:val="23"/>
        </w:rPr>
        <w:t xml:space="preserve">2. Standard precautions are applied to every patient, at all times (HIC.2.a)</w:t>
      </w:r>
    </w:p>
    <w:p>
      <w:pPr>
        <w:spacing w:after="120"/>
      </w:pPr>
      <w:r>
        <w:rPr>
          <w:sz w:val="22"/>
          <w:szCs w:val="22"/>
        </w:rPr>
        <w:t xml:space="preserve">Staff at HMP Foundation do not decide whether to apply standard precautions on the basis of a patient's diagnosis, appearance, test result or presumed risk. Standard precautions are applied to every patient during every episode of care, on the working assumption that blood, all body fluids, secretions and excretions (excluding sweat), non-intact skin and mucous membranes may carry transmissible agents whether or not any infection has been identified.</w:t>
      </w:r>
    </w:p>
    <w:p>
      <w:pPr>
        <w:pStyle w:val="ListParagraph"/>
        <w:numPr>
          <w:ilvl w:val="0"/>
          <w:numId w:val="1"/>
        </w:numPr>
        <w:spacing w:after="60"/>
      </w:pPr>
      <w:r>
        <w:rPr>
          <w:sz w:val="22"/>
          <w:szCs w:val="22"/>
        </w:rPr>
        <w:t xml:space="preserve">The elements of standard precautions practised at HMP Foundation are:</w:t>
      </w:r>
    </w:p>
    <w:p>
      <w:pPr>
        <w:pStyle w:val="ListParagraph"/>
        <w:numPr>
          <w:ilvl w:val="0"/>
          <w:numId w:val="1"/>
        </w:numPr>
        <w:spacing w:after="60"/>
      </w:pPr>
      <w:r>
        <w:rPr>
          <w:sz w:val="22"/>
          <w:szCs w:val="22"/>
        </w:rPr>
        <w:t xml:space="preserve">hand hygiene;</w:t>
      </w:r>
    </w:p>
    <w:p>
      <w:pPr>
        <w:pStyle w:val="ListParagraph"/>
        <w:numPr>
          <w:ilvl w:val="0"/>
          <w:numId w:val="1"/>
        </w:numPr>
        <w:spacing w:after="60"/>
      </w:pPr>
      <w:r>
        <w:rPr>
          <w:sz w:val="22"/>
          <w:szCs w:val="22"/>
        </w:rPr>
        <w:t xml:space="preserve">personal protective equipment selected according to the anticipated exposure (gloves, gowns/aprons, masks, eye protection or face shield);</w:t>
      </w:r>
    </w:p>
    <w:p>
      <w:pPr>
        <w:pStyle w:val="ListParagraph"/>
        <w:numPr>
          <w:ilvl w:val="0"/>
          <w:numId w:val="1"/>
        </w:numPr>
        <w:spacing w:after="60"/>
      </w:pPr>
      <w:r>
        <w:rPr>
          <w:sz w:val="22"/>
          <w:szCs w:val="22"/>
        </w:rPr>
        <w:t xml:space="preserve">respiratory hygiene and cough etiquette;</w:t>
      </w:r>
    </w:p>
    <w:p>
      <w:pPr>
        <w:pStyle w:val="ListParagraph"/>
        <w:numPr>
          <w:ilvl w:val="0"/>
          <w:numId w:val="1"/>
        </w:numPr>
        <w:spacing w:after="60"/>
      </w:pPr>
      <w:r>
        <w:rPr>
          <w:sz w:val="22"/>
          <w:szCs w:val="22"/>
        </w:rPr>
        <w:t xml:space="preserve">safe injection practice;</w:t>
      </w:r>
    </w:p>
    <w:p>
      <w:pPr>
        <w:pStyle w:val="ListParagraph"/>
        <w:numPr>
          <w:ilvl w:val="0"/>
          <w:numId w:val="1"/>
        </w:numPr>
        <w:spacing w:after="60"/>
      </w:pPr>
      <w:r>
        <w:rPr>
          <w:sz w:val="22"/>
          <w:szCs w:val="22"/>
        </w:rPr>
        <w:t xml:space="preserve">sharps safety, achieved through both device selection and work practice;</w:t>
      </w:r>
    </w:p>
    <w:p>
      <w:pPr>
        <w:pStyle w:val="ListParagraph"/>
        <w:numPr>
          <w:ilvl w:val="0"/>
          <w:numId w:val="1"/>
        </w:numPr>
        <w:spacing w:after="60"/>
      </w:pPr>
      <w:r>
        <w:rPr>
          <w:sz w:val="22"/>
          <w:szCs w:val="22"/>
        </w:rPr>
        <w:t xml:space="preserve">safe handling and decontamination of used patient-care equipment and instruments;</w:t>
      </w:r>
    </w:p>
    <w:p>
      <w:pPr>
        <w:pStyle w:val="ListParagraph"/>
        <w:numPr>
          <w:ilvl w:val="0"/>
          <w:numId w:val="1"/>
        </w:numPr>
        <w:spacing w:after="60"/>
      </w:pPr>
      <w:r>
        <w:rPr>
          <w:sz w:val="22"/>
          <w:szCs w:val="22"/>
        </w:rPr>
        <w:t xml:space="preserve">cleaning and disinfection of the care environment and frequently touched surfaces, including prompt management of blood and body fluid spills;</w:t>
      </w:r>
    </w:p>
    <w:p>
      <w:pPr>
        <w:pStyle w:val="ListParagraph"/>
        <w:numPr>
          <w:ilvl w:val="0"/>
          <w:numId w:val="1"/>
        </w:numPr>
        <w:spacing w:after="60"/>
      </w:pPr>
      <w:r>
        <w:rPr>
          <w:sz w:val="22"/>
          <w:szCs w:val="22"/>
        </w:rPr>
        <w:t xml:space="preserve">safe handling of used linen; and</w:t>
      </w:r>
    </w:p>
    <w:p>
      <w:pPr>
        <w:pStyle w:val="ListParagraph"/>
        <w:numPr>
          <w:ilvl w:val="0"/>
          <w:numId w:val="1"/>
        </w:numPr>
        <w:spacing w:after="60"/>
      </w:pPr>
      <w:r>
        <w:rPr>
          <w:sz w:val="22"/>
          <w:szCs w:val="22"/>
        </w:rPr>
        <w:t xml:space="preserve">segregation and disposal of biomedical waste.</w:t>
      </w:r>
    </w:p>
    <w:p>
      <w:pPr>
        <w:spacing w:after="120"/>
      </w:pPr>
      <w:r>
        <w:rPr>
          <w:sz w:val="22"/>
          <w:szCs w:val="22"/>
        </w:rPr>
        <w:t xml:space="preserve">A laminated summary of these elements is displayed at every nursing station and in every procedure room of HMP Foundation.</w:t>
      </w:r>
    </w:p>
    <w:p>
      <w:pPr>
        <w:spacing w:after="90" w:before="240"/>
      </w:pPr>
      <w:r>
        <w:rPr>
          <w:b/>
          <w:bCs/>
          <w:sz w:val="23"/>
          <w:szCs w:val="23"/>
        </w:rPr>
        <w:t xml:space="preserve">3. Hand hygiene — the five moments at which hands must be cleaned (HIC.2.b)</w:t>
      </w:r>
    </w:p>
    <w:p>
      <w:pPr>
        <w:spacing w:after="120"/>
      </w:pPr>
      <w:r>
        <w:rPr>
          <w:sz w:val="22"/>
          <w:szCs w:val="22"/>
        </w:rPr>
        <w:t xml:space="preserve">HMP Foundation follows the World Health Organization's "My 5 Moments for Hand Hygiene" model. Hands are cleaned:</w:t>
      </w:r>
    </w:p>
    <w:p>
      <w:pPr>
        <w:spacing w:after="120"/>
      </w:pPr>
      <w:r>
        <w:rPr>
          <w:sz w:val="22"/>
          <w:szCs w:val="22"/>
        </w:rPr>
        <w:t xml:space="preserve">Moment 1 — Before touching a patient. Performed on moving from the general healthcare area into the patient zone, before any contact. This protects the patient from organisms carried on the hands of staff.</w:t>
      </w:r>
    </w:p>
    <w:p>
      <w:pPr>
        <w:spacing w:after="120"/>
      </w:pPr>
      <w:r>
        <w:rPr>
          <w:sz w:val="22"/>
          <w:szCs w:val="22"/>
        </w:rPr>
        <w:t xml:space="preserve">Moment 2 — Before a clean or aseptic procedure. Performed immediately before touching a critical site carrying infection risk — for example before inserting or accessing a vascular device or urinary catheter, before wound care, before preparing an injection, and before handling invasive equipment. This protects the patient from organisms, including the patient's own, entering the body.</w:t>
      </w:r>
    </w:p>
    <w:p>
      <w:pPr>
        <w:spacing w:after="120"/>
      </w:pPr>
      <w:r>
        <w:rPr>
          <w:sz w:val="22"/>
          <w:szCs w:val="22"/>
        </w:rPr>
        <w:t xml:space="preserve">Moment 3 — After a body fluid exposure risk. Performed immediately after any actual or potential exposure to blood, body fluids, secretions, excretions, mucous membranes or non-intact skin, and immediately after removing gloves. This protects the member of staff and the environment from the patient's organisms.</w:t>
      </w:r>
    </w:p>
    <w:p>
      <w:pPr>
        <w:spacing w:after="120"/>
      </w:pPr>
      <w:r>
        <w:rPr>
          <w:sz w:val="22"/>
          <w:szCs w:val="22"/>
        </w:rPr>
        <w:t xml:space="preserve">Moment 4 — After touching a patient. Performed on leaving the patient zone, after contact with the patient and before touching anything in the general healthcare area.</w:t>
      </w:r>
    </w:p>
    <w:p>
      <w:pPr>
        <w:spacing w:after="120"/>
      </w:pPr>
      <w:r>
        <w:rPr>
          <w:sz w:val="22"/>
          <w:szCs w:val="22"/>
        </w:rPr>
        <w:t xml:space="preserve">Moment 5 — After touching the patient's surroundings. Performed after touching any object or surface within the patient zone — bed rails, bedside locker, infusion pump, monitor, linen — even where the patient was not touched at all.</w:t>
      </w:r>
    </w:p>
    <w:p>
      <w:pPr>
        <w:spacing w:after="120"/>
      </w:pPr>
      <w:r>
        <w:rPr>
          <w:sz w:val="22"/>
          <w:szCs w:val="22"/>
        </w:rPr>
        <w:t xml:space="preserve">Moments 1 and 2 are performed before the action; Moments 3, 4 and 5 are performed after it. Where two moments coincide, a single hand hygiene action satisfies both.</w:t>
      </w:r>
    </w:p>
    <w:p>
      <w:pPr>
        <w:spacing w:after="90" w:before="240"/>
      </w:pPr>
      <w:r>
        <w:rPr>
          <w:b/>
          <w:bCs/>
          <w:sz w:val="23"/>
          <w:szCs w:val="23"/>
        </w:rPr>
        <w:t xml:space="preserve">4. Choosing between alcohol-based handrub and soap and water (HIC.2.b)</w:t>
      </w:r>
    </w:p>
    <w:p>
      <w:pPr>
        <w:spacing w:after="120"/>
      </w:pPr>
      <w:r>
        <w:rPr>
          <w:sz w:val="22"/>
          <w:szCs w:val="22"/>
        </w:rPr>
        <w:t xml:space="preserve">Alcohol-based handrub is the routine method at HMP Foundation for all five moments when hands are not visibly soiled, because it acts faster, is better tolerated by the skin and can be sited at the point of care.</w:t>
      </w:r>
    </w:p>
    <w:p>
      <w:pPr>
        <w:pStyle w:val="ListParagraph"/>
        <w:numPr>
          <w:ilvl w:val="0"/>
          <w:numId w:val="1"/>
        </w:numPr>
        <w:spacing w:after="60"/>
      </w:pPr>
      <w:r>
        <w:rPr>
          <w:sz w:val="22"/>
          <w:szCs w:val="22"/>
        </w:rPr>
        <w:t xml:space="preserve">Hands are washed with soap and running water instead of using handrub when:</w:t>
      </w:r>
    </w:p>
    <w:p>
      <w:pPr>
        <w:pStyle w:val="ListParagraph"/>
        <w:numPr>
          <w:ilvl w:val="0"/>
          <w:numId w:val="1"/>
        </w:numPr>
        <w:spacing w:after="60"/>
      </w:pPr>
      <w:r>
        <w:rPr>
          <w:sz w:val="22"/>
          <w:szCs w:val="22"/>
        </w:rPr>
        <w:t xml:space="preserve">hands are visibly dirty or visibly soiled with blood or other body fluid;</w:t>
      </w:r>
    </w:p>
    <w:p>
      <w:pPr>
        <w:pStyle w:val="ListParagraph"/>
        <w:numPr>
          <w:ilvl w:val="0"/>
          <w:numId w:val="1"/>
        </w:numPr>
        <w:spacing w:after="60"/>
      </w:pPr>
      <w:r>
        <w:rPr>
          <w:sz w:val="22"/>
          <w:szCs w:val="22"/>
        </w:rPr>
        <w:t xml:space="preserve">hands feel sticky after repeated handrub applications;</w:t>
      </w:r>
    </w:p>
    <w:p>
      <w:pPr>
        <w:pStyle w:val="ListParagraph"/>
        <w:numPr>
          <w:ilvl w:val="0"/>
          <w:numId w:val="1"/>
        </w:numPr>
        <w:spacing w:after="60"/>
      </w:pPr>
      <w:r>
        <w:rPr>
          <w:sz w:val="22"/>
          <w:szCs w:val="22"/>
        </w:rPr>
        <w:t xml:space="preserve">there has been exposure to, or care of a patient with, a spore-forming organism such as Clostridioides difficile, where alcohol is not reliably effective; and</w:t>
      </w:r>
    </w:p>
    <w:p>
      <w:pPr>
        <w:pStyle w:val="ListParagraph"/>
        <w:numPr>
          <w:ilvl w:val="0"/>
          <w:numId w:val="1"/>
        </w:numPr>
        <w:spacing w:after="60"/>
      </w:pPr>
      <w:r>
        <w:rPr>
          <w:sz w:val="22"/>
          <w:szCs w:val="22"/>
        </w:rPr>
        <w:t xml:space="preserve">before eating and after using the toilet.</w:t>
      </w:r>
    </w:p>
    <w:p>
      <w:pPr>
        <w:spacing w:after="120"/>
      </w:pPr>
      <w:r>
        <w:rPr>
          <w:sz w:val="22"/>
          <w:szCs w:val="22"/>
        </w:rPr>
        <w:t xml:space="preserve">Handrub and soap-and-water are not applied one immediately after the other as a routine, since this offers no additional benefit and damages the skin.</w:t>
      </w:r>
    </w:p>
    <w:p>
      <w:pPr>
        <w:spacing w:after="90" w:before="240"/>
      </w:pPr>
      <w:r>
        <w:rPr>
          <w:b/>
          <w:bCs/>
          <w:sz w:val="23"/>
          <w:szCs w:val="23"/>
        </w:rPr>
        <w:t xml:space="preserve">5. Technique — alcohol-based handrub, 20 to 30 seconds (HIC.2.b)</w:t>
      </w:r>
    </w:p>
    <w:p>
      <w:pPr>
        <w:spacing w:after="120"/>
      </w:pPr>
      <w:r>
        <w:rPr>
          <w:sz w:val="22"/>
          <w:szCs w:val="22"/>
        </w:rPr>
        <w:t xml:space="preserve">The whole action takes 20 to 30 seconds. Rings, wrist watches and bracelets are removed first, and sleeves are kept above the elbow.</w:t>
      </w:r>
    </w:p>
    <w:p>
      <w:pPr>
        <w:spacing w:after="120"/>
      </w:pPr>
      <w:r>
        <w:rPr>
          <w:sz w:val="22"/>
          <w:szCs w:val="22"/>
        </w:rPr>
        <w:t xml:space="preserve">Apply a palmful of handrub into a cupped hand — enough to wet all surfaces of both hands — then rub through the following six movements, each repeated at least five times:</w:t>
      </w:r>
    </w:p>
    <w:p>
      <w:pPr>
        <w:spacing w:after="120"/>
      </w:pPr>
      <w:r>
        <w:rPr>
          <w:sz w:val="22"/>
          <w:szCs w:val="22"/>
        </w:rPr>
        <w:t xml:space="preserve">(1) Palm against palm.
(2) Right palm over the back of the left hand with the fingers interlaced, then left palm over the back of the right hand.
(3) Palm against palm with the fingers interlaced, cleaning the finger webs.
(4) Backs of the fingers against the opposing palm with the fingers interlocked.
(5) The left thumb clasped in the right palm and rubbed with a rotating movement, then the right thumb in the left palm.
(6) The clasped fingertips of the right hand rubbed in a rotating, backwards-and-forwards movement against the left palm, then the fingertips of the left hand in the right palm.</w:t>
      </w:r>
    </w:p>
    <w:p>
      <w:pPr>
        <w:spacing w:after="120"/>
      </w:pPr>
      <w:r>
        <w:rPr>
          <w:sz w:val="22"/>
          <w:szCs w:val="22"/>
        </w:rPr>
        <w:t xml:space="preserve">Rub until the hands are completely dry. The hands are safe only once dry — the alcohol must be allowed to evaporate and must not be wiped, fanned or dried on clothing. Gloves are never put on over wet hands.</w:t>
      </w:r>
    </w:p>
    <w:p>
      <w:pPr>
        <w:spacing w:after="90" w:before="240"/>
      </w:pPr>
      <w:r>
        <w:rPr>
          <w:b/>
          <w:bCs/>
          <w:sz w:val="23"/>
          <w:szCs w:val="23"/>
        </w:rPr>
        <w:t xml:space="preserve">6. Technique — soap and running water, 40 to 60 seconds (HIC.2.b)</w:t>
      </w:r>
    </w:p>
    <w:p>
      <w:pPr>
        <w:spacing w:after="120"/>
      </w:pPr>
      <w:r>
        <w:rPr>
          <w:sz w:val="22"/>
          <w:szCs w:val="22"/>
        </w:rPr>
        <w:t xml:space="preserve">The whole action takes 40 to 60 seconds.</w:t>
      </w:r>
    </w:p>
    <w:p>
      <w:pPr>
        <w:spacing w:after="120"/>
      </w:pPr>
      <w:r>
        <w:rPr>
          <w:sz w:val="22"/>
          <w:szCs w:val="22"/>
        </w:rPr>
        <w:t xml:space="preserve">Wet the hands with water. Apply enough soap to cover every surface of both hands. Work through the same six rubbing movements set out in step 5, in the same order and for the same number of repetitions. Rinse the hands thoroughly with water. Dry them completely with a single-use towel. Use that same towel to turn off the tap, then discard it — hands are not re-contaminated on a tap handle that was touched with dirty hands. Where the basin has a hands-free tap, this last step is unnecessary.</w:t>
      </w:r>
    </w:p>
    <w:p>
      <w:pPr>
        <w:spacing w:after="120"/>
      </w:pPr>
      <w:r>
        <w:rPr>
          <w:sz w:val="22"/>
          <w:szCs w:val="22"/>
        </w:rPr>
        <w:t xml:space="preserve">Hot water is not used, as it increases the risk of dermatitis without improving decontamination. Bar soap in an open dish is not used anywhere in HMP Foundation; liquid soap is supplied in wall-mounted dispensers that are not topped up on to a partly used refill.</w:t>
      </w:r>
    </w:p>
    <w:p>
      <w:pPr>
        <w:spacing w:after="90" w:before="240"/>
      </w:pPr>
      <w:r>
        <w:rPr>
          <w:b/>
          <w:bCs/>
          <w:sz w:val="23"/>
          <w:szCs w:val="23"/>
        </w:rPr>
        <w:t xml:space="preserve">7. Conditions that make correct hand hygiene possible (HIC.2.b)</w:t>
      </w:r>
    </w:p>
    <w:p>
      <w:pPr>
        <w:spacing w:after="120"/>
      </w:pPr>
      <w:r>
        <w:rPr>
          <w:sz w:val="22"/>
          <w:szCs w:val="22"/>
        </w:rPr>
        <w:t xml:space="preserve">Staff of HMP Foundation working in clinical areas keep fingernails short, clean and free of nail polish, gel and artificial nails. Hand and wrist jewellery is not worn during clinical care; a plain band, where cultural or personal circumstances make removal unacceptable, is moved and the skin beneath it cleaned during every hand hygiene action.</w:t>
      </w:r>
    </w:p>
    <w:p>
      <w:pPr>
        <w:spacing w:after="120"/>
      </w:pPr>
      <w:r>
        <w:rPr>
          <w:sz w:val="22"/>
          <w:szCs w:val="22"/>
        </w:rPr>
        <w:t xml:space="preserve">Cuts and abrasions on the hands are covered with a waterproof dressing before duty. Staff with dermatitis, cracked skin or an open lesion on the hands report to the ICN, who assesses fitness for direct patient contact. Because damaged skin carries higher organism counts and makes staff avoid hand hygiene, HMP Foundation provides hand moisturiser compatible with the handrub in use and encourages its regular application.</w:t>
      </w:r>
    </w:p>
    <w:p>
      <w:pPr>
        <w:spacing w:after="90" w:before="240"/>
      </w:pPr>
      <w:r>
        <w:rPr>
          <w:b/>
          <w:bCs/>
          <w:sz w:val="23"/>
          <w:szCs w:val="23"/>
        </w:rPr>
        <w:t xml:space="preserve">8. Hand hygiene facilities, taps and consumables (HIC.2.b)</w:t>
      </w:r>
    </w:p>
    <w:p>
      <w:pPr>
        <w:spacing w:after="120"/>
      </w:pPr>
      <w:r>
        <w:rPr>
          <w:sz w:val="22"/>
          <w:szCs w:val="22"/>
        </w:rPr>
        <w:t xml:space="preserve">HMP Foundation places alcohol-based handrub within arm's reach of the point of care — at the entry to each bed space, on each medication and procedure trolley, at ward entry and exit points, and at the entrance to every intensive care and procedure area — so that no member of staff has to leave the patient zone to perform hand hygiene.</w:t>
      </w:r>
    </w:p>
    <w:p>
      <w:pPr>
        <w:spacing w:after="120"/>
      </w:pPr>
      <w:r>
        <w:rPr>
          <w:sz w:val="22"/>
          <w:szCs w:val="22"/>
        </w:rPr>
        <w:t xml:space="preserve">Handwash basins in patient care areas are of adequate size and depth to contain splashing during handwashing, and are provided with running water, liquid soap in a wall-mounted dispenser, and single-use towels or tissue for drying. Hands-free taps — elbow, foot, knee or sensor operated — are preferred at all clinical handwash basins, because a hand-operated tap re-contaminates hands that have just been washed.</w:t>
      </w:r>
    </w:p>
    <w:p>
      <w:pPr>
        <w:spacing w:after="120"/>
      </w:pPr>
      <w:r>
        <w:rPr>
          <w:sz w:val="22"/>
          <w:szCs w:val="22"/>
        </w:rPr>
        <w:t xml:space="preserve">In the operation theatre scrub area, hands-free taps are mandatory: taps must be elbow, foot or sensor operated, without exception. Any OT scrub basin at HMP Foundation still fitted with a hand-operated tap is converted, and until conversion is complete the basin is not used for surgical scrubbing.</w:t>
      </w:r>
    </w:p>
    <w:p>
      <w:pPr>
        <w:spacing w:after="120"/>
      </w:pPr>
      <w:r>
        <w:rPr>
          <w:sz w:val="22"/>
          <w:szCs w:val="22"/>
        </w:rPr>
        <w:t xml:space="preserve">Housekeeping checks every dispenser at the start of each shift and refills empty units immediately. Refill and dispenser-fault checks are logged; the log is reviewed by the ICN at a frequency of [Hospital to define]. Dispensers found empty on more than one check are treated as an infection control incident and reported to the ICC, not simply refilled.</w:t>
      </w:r>
    </w:p>
    <w:p>
      <w:pPr>
        <w:spacing w:after="120"/>
      </w:pPr>
      <w:r>
        <w:rPr>
          <w:sz w:val="22"/>
          <w:szCs w:val="22"/>
        </w:rPr>
        <w:t xml:space="preserve">The WHO handrub and handwash technique diagrams and the 5 Moments diagram are displayed above every basin and beside every handrub dispenser throughout HMP Foundation, in English and in the local language.</w:t>
      </w:r>
    </w:p>
    <w:p>
      <w:pPr>
        <w:spacing w:after="90" w:before="240"/>
      </w:pPr>
      <w:r>
        <w:rPr>
          <w:b/>
          <w:bCs/>
          <w:sz w:val="23"/>
          <w:szCs w:val="23"/>
        </w:rPr>
        <w:t xml:space="preserve">9. Monitoring hand hygiene compliance (HIC.2.b)</w:t>
      </w:r>
    </w:p>
    <w:p>
      <w:pPr>
        <w:spacing w:after="120"/>
      </w:pPr>
      <w:r>
        <w:rPr>
          <w:sz w:val="22"/>
          <w:szCs w:val="22"/>
        </w:rPr>
        <w:t xml:space="preserve">The ICN or a trained and validated observer conducts direct-observation audits in each clinical area of HMP Foundation. Observation is open — staff are told that hand hygiene is being observed — and each session runs for approximately 20 minutes (plus or minus 10 minutes) so the observer can record accurately.</w:t>
      </w:r>
    </w:p>
    <w:p>
      <w:pPr>
        <w:spacing w:after="120"/>
      </w:pPr>
      <w:r>
        <w:rPr>
          <w:sz w:val="22"/>
          <w:szCs w:val="22"/>
        </w:rPr>
        <w:t xml:space="preserve">The observer counts opportunities (each occurrence of one or more of the five moments) and records whether a hand hygiene action was performed at each. Compliance is calculated as:</w:t>
      </w:r>
    </w:p>
    <w:p>
      <w:pPr>
        <w:spacing w:after="120"/>
      </w:pPr>
      <w:r>
        <w:rPr>
          <w:sz w:val="22"/>
          <w:szCs w:val="22"/>
        </w:rPr>
        <w:t xml:space="preserve">Compliance (%) = (number of hand hygiene actions performed ÷ total number of opportunities observed) × 100</w:t>
      </w:r>
    </w:p>
    <w:p>
      <w:pPr>
        <w:spacing w:after="120"/>
      </w:pPr>
      <w:r>
        <w:rPr>
          <w:sz w:val="22"/>
          <w:szCs w:val="22"/>
        </w:rPr>
        <w:t xml:space="preserve">Results are calculated separately by professional category (doctors, nurses, technicians, housekeeping) and by clinical area, because a single hospital-wide figure conceals where the problem sits. Audit frequency and the compliance target adopted by HMP Foundation are [Hospital to define].</w:t>
      </w:r>
    </w:p>
    <w:p>
      <w:pPr>
        <w:spacing w:after="120"/>
      </w:pPr>
      <w:r>
        <w:rPr>
          <w:sz w:val="22"/>
          <w:szCs w:val="22"/>
        </w:rPr>
        <w:t xml:space="preserve">Results are fed back to the audited area within [Hospital to define] of the observation, displayed on the ward notice board, and tabled at the ICC. Where an area falls below target, the ICC records a named corrective action with an owner and a due date, and re-audits that area to confirm whether the action worked. Consumption of handrub per 1,000 patient-days is tracked from stores issue data as a supporting indicator, since direct observation alone can be influenced by the presence of the observer.</w:t>
      </w:r>
    </w:p>
    <w:p>
      <w:pPr>
        <w:spacing w:after="90" w:before="240"/>
      </w:pPr>
      <w:r>
        <w:rPr>
          <w:b/>
          <w:bCs/>
          <w:sz w:val="23"/>
          <w:szCs w:val="23"/>
        </w:rPr>
        <w:t xml:space="preserve">10. Selecting personal protective equipment (HIC.2.a)</w:t>
      </w:r>
    </w:p>
    <w:p>
      <w:pPr>
        <w:spacing w:after="120"/>
      </w:pPr>
      <w:r>
        <w:rPr>
          <w:sz w:val="22"/>
          <w:szCs w:val="22"/>
        </w:rPr>
        <w:t xml:space="preserve">Staff of HMP Foundation select PPE by anticipating the exposure the task will produce, not by the label attached to the patient.</w:t>
      </w:r>
    </w:p>
    <w:p>
      <w:pPr>
        <w:pStyle w:val="ListParagraph"/>
        <w:numPr>
          <w:ilvl w:val="0"/>
          <w:numId w:val="1"/>
        </w:numPr>
        <w:spacing w:after="60"/>
      </w:pPr>
      <w:r>
        <w:rPr>
          <w:sz w:val="22"/>
          <w:szCs w:val="22"/>
        </w:rPr>
        <w:t xml:space="preserve">Gloves: for anticipated contact with blood, body fluids, secretions, excretions, mucous membranes, non-intact skin or contaminated items.</w:t>
      </w:r>
    </w:p>
    <w:p>
      <w:pPr>
        <w:pStyle w:val="ListParagraph"/>
        <w:numPr>
          <w:ilvl w:val="0"/>
          <w:numId w:val="1"/>
        </w:numPr>
        <w:spacing w:after="60"/>
      </w:pPr>
      <w:r>
        <w:rPr>
          <w:sz w:val="22"/>
          <w:szCs w:val="22"/>
        </w:rPr>
        <w:t xml:space="preserve">Gown or plastic apron: where clothing or exposed skin is likely to be contaminated or splashed.</w:t>
      </w:r>
    </w:p>
    <w:p>
      <w:pPr>
        <w:pStyle w:val="ListParagraph"/>
        <w:numPr>
          <w:ilvl w:val="0"/>
          <w:numId w:val="1"/>
        </w:numPr>
        <w:spacing w:after="60"/>
      </w:pPr>
      <w:r>
        <w:rPr>
          <w:sz w:val="22"/>
          <w:szCs w:val="22"/>
        </w:rPr>
        <w:t xml:space="preserve">Surgical mask: where splashing or spraying towards the face is possible, and for droplet precautions.</w:t>
      </w:r>
    </w:p>
    <w:p>
      <w:pPr>
        <w:pStyle w:val="ListParagraph"/>
        <w:numPr>
          <w:ilvl w:val="0"/>
          <w:numId w:val="1"/>
        </w:numPr>
        <w:spacing w:after="60"/>
      </w:pPr>
      <w:r>
        <w:rPr>
          <w:sz w:val="22"/>
          <w:szCs w:val="22"/>
        </w:rPr>
        <w:t xml:space="preserve">Particulate respirator (N95 or equivalent): for airborne precautions and for aerosol-generating procedures.</w:t>
      </w:r>
    </w:p>
    <w:p>
      <w:pPr>
        <w:pStyle w:val="ListParagraph"/>
        <w:numPr>
          <w:ilvl w:val="0"/>
          <w:numId w:val="1"/>
        </w:numPr>
        <w:spacing w:after="60"/>
      </w:pPr>
      <w:r>
        <w:rPr>
          <w:sz w:val="22"/>
          <w:szCs w:val="22"/>
        </w:rPr>
        <w:t xml:space="preserve">Eye protection — goggles or a face shield: where splashing towards the eyes is possible.</w:t>
      </w:r>
    </w:p>
    <w:p>
      <w:pPr>
        <w:spacing w:after="120"/>
      </w:pPr>
      <w:r>
        <w:rPr>
          <w:sz w:val="22"/>
          <w:szCs w:val="22"/>
        </w:rPr>
        <w:t xml:space="preserve">PPE is put on before entering the patient zone and removed before leaving it. It is not worn from one patient to the next, is not worn in corridors, staff rooms, nursing stations or dining areas, and is not washed, disinfected or re-used where it is single-use.</w:t>
      </w:r>
    </w:p>
    <w:p>
      <w:pPr>
        <w:spacing w:after="90" w:before="240"/>
      </w:pPr>
      <w:r>
        <w:rPr>
          <w:b/>
          <w:bCs/>
          <w:sz w:val="23"/>
          <w:szCs w:val="23"/>
        </w:rPr>
        <w:t xml:space="preserve">11. Sequence for putting on PPE (donning) (HIC.2.a)</w:t>
      </w:r>
    </w:p>
    <w:p>
      <w:pPr>
        <w:spacing w:after="120"/>
      </w:pPr>
      <w:r>
        <w:rPr>
          <w:sz w:val="22"/>
          <w:szCs w:val="22"/>
        </w:rPr>
        <w:t xml:space="preserve">PPE is put on in this order, outside the patient room or immediately inside the doorway:</w:t>
      </w:r>
    </w:p>
    <w:p>
      <w:pPr>
        <w:spacing w:after="120"/>
      </w:pPr>
      <w:r>
        <w:rPr>
          <w:sz w:val="22"/>
          <w:szCs w:val="22"/>
        </w:rPr>
        <w:t xml:space="preserve">(1) Perform hand hygiene.
(2) Gown — cover the torso from neck to knees and the arms to the wrists, wrap it around the back, and fasten at the neck and waist.
(3) Mask or respirator — secure the ties or elastics at the middle of the head and at the neck, mould the flexible band over the bridge of the nose, and check that it sits close to the face and below the chin. A respirator additionally requires a user seal check on every occasion.
(4) Goggles or face shield — position over the eyes and face and adjust to fit.
(5) Gloves — pull on last and extend them over the cuff of the gown so no wrist skin is exposed.</w:t>
      </w:r>
    </w:p>
    <w:p>
      <w:pPr>
        <w:spacing w:after="90" w:before="240"/>
      </w:pPr>
      <w:r>
        <w:rPr>
          <w:b/>
          <w:bCs/>
          <w:sz w:val="23"/>
          <w:szCs w:val="23"/>
        </w:rPr>
        <w:t xml:space="preserve">12. Sequence for removing PPE (doffing) (HIC.2.a)</w:t>
      </w:r>
    </w:p>
    <w:p>
      <w:pPr>
        <w:spacing w:after="120"/>
      </w:pPr>
      <w:r>
        <w:rPr>
          <w:sz w:val="22"/>
          <w:szCs w:val="22"/>
        </w:rPr>
        <w:t xml:space="preserve">Doffing is where self-contamination happens, so it is performed slowly and deliberately. Except for the mask or respirator, PPE is removed at the doorway or in the anteroom, before leaving the patient room; the mask or respirator is removed after leaving the room and closing the door.</w:t>
      </w:r>
    </w:p>
    <w:p>
      <w:pPr>
        <w:spacing w:after="120"/>
      </w:pPr>
      <w:r>
        <w:rPr>
          <w:sz w:val="22"/>
          <w:szCs w:val="22"/>
        </w:rPr>
        <w:t xml:space="preserve">(1) Gloves — the outside is contaminated. Grasp the outside of one glove near the wrist with the other gloved hand and peel it off, turning it inside out, and hold it in the still-gloved hand. Slide the ungloved fingers under the wrist of the remaining glove and peel it off over the first glove. Discard into the correct waste container.
(2) Goggles or face shield — the outside is contaminated. Handle only the headband or ear pieces, lift away from the face, and discard or place in the designated container for reprocessing.
(3) Gown — the front and sleeves are contaminated. Unfasten the ties, pull the gown away from the neck and shoulders touching only the inside, turn it inside out as it comes off, roll it into a bundle and discard.
(4) Leave the room and close the door.
(5) Mask or respirator — the front is contaminated and is never touched. Grasp the lower tie or elastic first, then the upper one, lift the item away from the face and discard.
(6) Perform hand hygiene.</w:t>
      </w:r>
    </w:p>
    <w:p>
      <w:pPr>
        <w:spacing w:after="120"/>
      </w:pPr>
      <w:r>
        <w:rPr>
          <w:sz w:val="22"/>
          <w:szCs w:val="22"/>
        </w:rPr>
        <w:t xml:space="preserve">Hand hygiene is performed immediately at any point during doffing at which the hands are thought to have been contaminated, without waiting until the end of the sequence.</w:t>
      </w:r>
    </w:p>
    <w:p>
      <w:pPr>
        <w:spacing w:after="90" w:before="240"/>
      </w:pPr>
      <w:r>
        <w:rPr>
          <w:b/>
          <w:bCs/>
          <w:sz w:val="23"/>
          <w:szCs w:val="23"/>
        </w:rPr>
        <w:t xml:space="preserve">13. Gloves — specific rules (HIC.2.a)</w:t>
      </w:r>
    </w:p>
    <w:p>
      <w:pPr>
        <w:spacing w:after="120"/>
      </w:pPr>
      <w:r>
        <w:rPr>
          <w:sz w:val="22"/>
          <w:szCs w:val="22"/>
        </w:rPr>
        <w:t xml:space="preserve">Gloves supplement hand hygiene; they never replace it. Hand hygiene is performed both before putting gloves on and immediately after taking them off, because gloves develop unseen defects and hands are contaminated during removal.</w:t>
      </w:r>
    </w:p>
    <w:p>
      <w:pPr>
        <w:spacing w:after="120"/>
      </w:pPr>
      <w:r>
        <w:rPr>
          <w:sz w:val="22"/>
          <w:szCs w:val="22"/>
        </w:rPr>
        <w:t xml:space="preserve">Gloves are changed between patients without exception. They are also changed between a dirty site and a clean site on the same patient — for example after perineal care and before wound care. Gloves are not washed, disinfected or re-used, and gloved hands are not used to write in case notes, answer a telephone, operate a computer, open doors or handle personal mobile phones. Sterile gloves are used for surgical and aseptic procedures; examination gloves are used for routine contact.</w:t>
      </w:r>
    </w:p>
    <w:p>
      <w:pPr>
        <w:spacing w:after="90" w:before="240"/>
      </w:pPr>
      <w:r>
        <w:rPr>
          <w:b/>
          <w:bCs/>
          <w:sz w:val="23"/>
          <w:szCs w:val="23"/>
        </w:rPr>
        <w:t xml:space="preserve">14. Respiratory hygiene and cough etiquette (HIC.2.a)</w:t>
      </w:r>
    </w:p>
    <w:p>
      <w:pPr>
        <w:spacing w:after="120"/>
      </w:pPr>
      <w:r>
        <w:rPr>
          <w:sz w:val="22"/>
          <w:szCs w:val="22"/>
        </w:rPr>
        <w:t xml:space="preserve">HMP Foundation displays instructions at all entrances, in outpatient waiting areas and at reception in English and the local language, asking anyone with a cough or respiratory symptoms to cover the mouth and nose with a tissue when coughing or sneezing, dispose of the tissue immediately in a covered waste bin, and perform hand hygiene afterwards. Tissues, covered waste bins and handrub are provided at these points.</w:t>
      </w:r>
    </w:p>
    <w:p>
      <w:pPr>
        <w:spacing w:after="120"/>
      </w:pPr>
      <w:r>
        <w:rPr>
          <w:sz w:val="22"/>
          <w:szCs w:val="22"/>
        </w:rPr>
        <w:t xml:space="preserve">Symptomatic patients and attendants are offered a surgical mask and, where seating allows, are asked to sit at least one metre away from others, or are placed in a separate waiting area. Staff who develop respiratory symptoms report to their supervisor and to occupational health rather than continuing direct patient care unassessed.</w:t>
      </w:r>
    </w:p>
    <w:p>
      <w:pPr>
        <w:spacing w:after="90" w:before="240"/>
      </w:pPr>
      <w:r>
        <w:rPr>
          <w:b/>
          <w:bCs/>
          <w:sz w:val="23"/>
          <w:szCs w:val="23"/>
        </w:rPr>
        <w:t xml:space="preserve">15. Transmission-based precautions — activation and general rules (HIC.2.c)</w:t>
      </w:r>
    </w:p>
    <w:p>
      <w:pPr>
        <w:spacing w:after="120"/>
      </w:pPr>
      <w:r>
        <w:rPr>
          <w:sz w:val="22"/>
          <w:szCs w:val="22"/>
        </w:rPr>
        <w:t xml:space="preserve">Where a patient is known or suspected to be infected or colonised with an agent that standard precautions alone will not contain, HMP Foundation applies transmission-based precautions in addition to standard precautions — never instead of them.</w:t>
      </w:r>
    </w:p>
    <w:p>
      <w:pPr>
        <w:spacing w:after="120"/>
      </w:pPr>
      <w:r>
        <w:rPr>
          <w:sz w:val="22"/>
          <w:szCs w:val="22"/>
        </w:rPr>
        <w:t xml:space="preserve">Precautions are started on clinical suspicion and are not delayed until a laboratory result confirms the organism. Any doctor or nurse may initiate them; the treating doctor and the ICN are informed within [Hospital to define] and the ICN confirms or modifies the category.</w:t>
      </w:r>
    </w:p>
    <w:p>
      <w:pPr>
        <w:spacing w:after="120"/>
      </w:pPr>
      <w:r>
        <w:rPr>
          <w:sz w:val="22"/>
          <w:szCs w:val="22"/>
        </w:rPr>
        <w:t xml:space="preserve">The precaution category is recorded in the patient's case record and in the nursing handover, and an instruction card showing the required PPE is displayed at the entrance to the bed space or room. The card states what staff and visitors must do; it does not name the patient's diagnosis, so that confidentiality is preserved.</w:t>
      </w:r>
    </w:p>
    <w:p>
      <w:pPr>
        <w:spacing w:after="120"/>
      </w:pPr>
      <w:r>
        <w:rPr>
          <w:sz w:val="22"/>
          <w:szCs w:val="22"/>
        </w:rPr>
        <w:t xml:space="preserve">HMP Foundation maintains a precaution assignment register recording the patient identifier, the precaution category, the date and time of starting, the person who authorised it, and the date of discontinuation. Where more than one route of transmission applies, all relevant categories are applied together.</w:t>
      </w:r>
    </w:p>
    <w:p>
      <w:pPr>
        <w:spacing w:after="120"/>
      </w:pPr>
      <w:r>
        <w:rPr>
          <w:sz w:val="22"/>
          <w:szCs w:val="22"/>
        </w:rPr>
        <w:t xml:space="preserve">The personal protective equipment required by each category is consolidated here, so that the entrance card, the induction training and the audit tool all draw on one list rather than on three separate passages:</w:t>
      </w:r>
    </w:p>
    <w:p>
      <w:pPr>
        <w:pStyle w:val="ListParagraph"/>
        <w:numPr>
          <w:ilvl w:val="0"/>
          <w:numId w:val="1"/>
        </w:numPr>
        <w:spacing w:after="60"/>
      </w:pPr>
      <w:r>
        <w:rPr>
          <w:sz w:val="22"/>
          <w:szCs w:val="22"/>
        </w:rPr>
        <w:t xml:space="preserve">Contact precautions — gown and gloves, put on before entering the patient's environment and removed before leaving it.</w:t>
      </w:r>
    </w:p>
    <w:p>
      <w:pPr>
        <w:pStyle w:val="ListParagraph"/>
        <w:numPr>
          <w:ilvl w:val="0"/>
          <w:numId w:val="1"/>
        </w:numPr>
        <w:spacing w:after="60"/>
      </w:pPr>
      <w:r>
        <w:rPr>
          <w:sz w:val="22"/>
          <w:szCs w:val="22"/>
        </w:rPr>
        <w:t xml:space="preserve">Droplet precautions — a surgical mask, put on before entering and removed after leaving, with eye protection added where splashing or spraying towards the face is anticipated.</w:t>
      </w:r>
    </w:p>
    <w:p>
      <w:pPr>
        <w:pStyle w:val="ListParagraph"/>
        <w:numPr>
          <w:ilvl w:val="0"/>
          <w:numId w:val="1"/>
        </w:numPr>
        <w:spacing w:after="60"/>
      </w:pPr>
      <w:r>
        <w:rPr>
          <w:sz w:val="22"/>
          <w:szCs w:val="22"/>
        </w:rPr>
        <w:t xml:space="preserve">Airborne precautions — a fit-tested particulate respirator (N95 or equivalent) with a user seal check on every occasion, put on before entering and removed only after leaving the room and closing the door.</w:t>
      </w:r>
    </w:p>
    <w:p>
      <w:pPr>
        <w:pStyle w:val="ListParagraph"/>
        <w:numPr>
          <w:ilvl w:val="0"/>
          <w:numId w:val="1"/>
        </w:numPr>
        <w:spacing w:after="60"/>
      </w:pPr>
      <w:r>
        <w:rPr>
          <w:sz w:val="22"/>
          <w:szCs w:val="22"/>
        </w:rPr>
        <w:t xml:space="preserve">Where more than one route of transmission applies, the requirements are cumulative and the most protective respiratory item governs.</w:t>
      </w:r>
    </w:p>
    <w:p>
      <w:pPr>
        <w:spacing w:after="120"/>
      </w:pPr>
      <w:r>
        <w:rPr>
          <w:sz w:val="22"/>
          <w:szCs w:val="22"/>
        </w:rPr>
        <w:t xml:space="preserve">Standard precautions continue to apply underneath every category. PPE is therefore still selected on the anticipated exposure under step 10 even where the category above does not call for it — a category tells staff the minimum, never the maximum.</w:t>
      </w:r>
    </w:p>
    <w:p>
      <w:pPr>
        <w:spacing w:after="120"/>
      </w:pPr>
      <w:r>
        <w:rPr>
          <w:sz w:val="22"/>
          <w:szCs w:val="22"/>
        </w:rPr>
        <w:t xml:space="preserve">The assigned category is reviewed by the ICN at an interval of [Hospital to define], and additionally whenever the patient's clinical condition changes or a new microbiology result is available. Each review is recorded in the precaution assignment register with the date, the reviewer and the decision to continue, change or discontinue. A category that is never reviewed tends to outlive its indication: it holds isolation capacity that another patient needs, and it exposes the patient to the recognised harms of unnecessary isolation — reduced clinical contact, delayed investigations and lower reported wellbeing.</w:t>
      </w:r>
    </w:p>
    <w:p>
      <w:pPr>
        <w:spacing w:after="90" w:before="240"/>
      </w:pPr>
      <w:r>
        <w:rPr>
          <w:b/>
          <w:bCs/>
          <w:sz w:val="23"/>
          <w:szCs w:val="23"/>
        </w:rPr>
        <w:t xml:space="preserve">16. Contact precautions (HIC.2.c)</w:t>
      </w:r>
    </w:p>
    <w:p>
      <w:pPr>
        <w:spacing w:after="120"/>
      </w:pPr>
      <w:r>
        <w:rPr>
          <w:sz w:val="22"/>
          <w:szCs w:val="22"/>
        </w:rPr>
        <w:t xml:space="preserve">Used for agents transmitted by direct contact with the patient or indirect contact with contaminated surfaces and equipment — for example multidrug-resistant organisms, Clostridioides difficile, scabies and infectious diarrhoea.</w:t>
      </w:r>
    </w:p>
    <w:p>
      <w:pPr>
        <w:pStyle w:val="ListParagraph"/>
        <w:numPr>
          <w:ilvl w:val="0"/>
          <w:numId w:val="1"/>
        </w:numPr>
        <w:spacing w:after="60"/>
      </w:pPr>
      <w:r>
        <w:rPr>
          <w:sz w:val="22"/>
          <w:szCs w:val="22"/>
        </w:rPr>
        <w:t xml:space="preserve">Place the patient in a single room where available. Where a single room is not available, cohort patients infected with the same organism, or maintain spatial separation of at least one metre with a privacy curtain drawn between beds.</w:t>
      </w:r>
    </w:p>
    <w:p>
      <w:pPr>
        <w:pStyle w:val="ListParagraph"/>
        <w:numPr>
          <w:ilvl w:val="0"/>
          <w:numId w:val="1"/>
        </w:numPr>
        <w:spacing w:after="60"/>
      </w:pPr>
      <w:r>
        <w:rPr>
          <w:sz w:val="22"/>
          <w:szCs w:val="22"/>
        </w:rPr>
        <w:t xml:space="preserve">Staff put on a gown and gloves before entering the patient's environment and remove them before leaving it.</w:t>
      </w:r>
    </w:p>
    <w:p>
      <w:pPr>
        <w:pStyle w:val="ListParagraph"/>
        <w:numPr>
          <w:ilvl w:val="0"/>
          <w:numId w:val="1"/>
        </w:numPr>
        <w:spacing w:after="60"/>
      </w:pPr>
      <w:r>
        <w:rPr>
          <w:sz w:val="22"/>
          <w:szCs w:val="22"/>
        </w:rPr>
        <w:t xml:space="preserve">Dedicate patient-care equipment — stethoscope, thermometer, sphygmomanometer cuff — to the single patient. Where equipment must be shared, clean and disinfect it between patients with a disinfectant approved by HMP Foundation, following the contact time stated by the manufacturer.</w:t>
      </w:r>
    </w:p>
    <w:p>
      <w:pPr>
        <w:pStyle w:val="ListParagraph"/>
        <w:numPr>
          <w:ilvl w:val="0"/>
          <w:numId w:val="1"/>
        </w:numPr>
        <w:spacing w:after="60"/>
      </w:pPr>
      <w:r>
        <w:rPr>
          <w:sz w:val="22"/>
          <w:szCs w:val="22"/>
        </w:rPr>
        <w:t xml:space="preserve">Increase the frequency of cleaning and disinfection of frequently touched surfaces in the patient zone.</w:t>
      </w:r>
    </w:p>
    <w:p>
      <w:pPr>
        <w:pStyle w:val="ListParagraph"/>
        <w:numPr>
          <w:ilvl w:val="0"/>
          <w:numId w:val="1"/>
        </w:numPr>
        <w:spacing w:after="60"/>
      </w:pPr>
      <w:r>
        <w:rPr>
          <w:sz w:val="22"/>
          <w:szCs w:val="22"/>
        </w:rPr>
        <w:t xml:space="preserve">For Clostridioides difficile, staff wash hands with soap and water rather than using handrub, and a sporicidal agent is used for environmental cleaning.</w:t>
      </w:r>
    </w:p>
    <w:p>
      <w:pPr>
        <w:spacing w:after="90" w:before="240"/>
      </w:pPr>
      <w:r>
        <w:rPr>
          <w:b/>
          <w:bCs/>
          <w:sz w:val="23"/>
          <w:szCs w:val="23"/>
        </w:rPr>
        <w:t xml:space="preserve">17. Droplet precautions (HIC.2.c)</w:t>
      </w:r>
    </w:p>
    <w:p>
      <w:pPr>
        <w:spacing w:after="120"/>
      </w:pPr>
      <w:r>
        <w:rPr>
          <w:sz w:val="22"/>
          <w:szCs w:val="22"/>
        </w:rPr>
        <w:t xml:space="preserve">Used for agents carried in respiratory droplets generated by coughing, sneezing, talking or certain procedures — for example influenza, pertussis, meningococcal disease, mumps and rubella.</w:t>
      </w:r>
    </w:p>
    <w:p>
      <w:pPr>
        <w:pStyle w:val="ListParagraph"/>
        <w:numPr>
          <w:ilvl w:val="0"/>
          <w:numId w:val="1"/>
        </w:numPr>
        <w:spacing w:after="60"/>
      </w:pPr>
      <w:r>
        <w:rPr>
          <w:sz w:val="22"/>
          <w:szCs w:val="22"/>
        </w:rPr>
        <w:t xml:space="preserve">Place the patient in a single room where available; otherwise cohort with patients having the same infection, or maintain spatial separation of at least one metre with a curtain drawn between beds. A special air-handling system is not required and the door may remain open.</w:t>
      </w:r>
    </w:p>
    <w:p>
      <w:pPr>
        <w:pStyle w:val="ListParagraph"/>
        <w:numPr>
          <w:ilvl w:val="0"/>
          <w:numId w:val="1"/>
        </w:numPr>
        <w:spacing w:after="60"/>
      </w:pPr>
      <w:r>
        <w:rPr>
          <w:sz w:val="22"/>
          <w:szCs w:val="22"/>
        </w:rPr>
        <w:t xml:space="preserve">Staff put on a surgical mask before entering the room and remove it after leaving. Eye protection is added where splashing or spraying towards the face is anticipated.</w:t>
      </w:r>
    </w:p>
    <w:p>
      <w:pPr>
        <w:pStyle w:val="ListParagraph"/>
        <w:numPr>
          <w:ilvl w:val="0"/>
          <w:numId w:val="1"/>
        </w:numPr>
        <w:spacing w:after="60"/>
      </w:pPr>
      <w:r>
        <w:rPr>
          <w:sz w:val="22"/>
          <w:szCs w:val="22"/>
        </w:rPr>
        <w:t xml:space="preserve">The patient wears a surgical mask when staff are within close range and whenever moved outside the room.</w:t>
      </w:r>
    </w:p>
    <w:p>
      <w:pPr>
        <w:spacing w:after="90" w:before="240"/>
      </w:pPr>
      <w:r>
        <w:rPr>
          <w:b/>
          <w:bCs/>
          <w:sz w:val="23"/>
          <w:szCs w:val="23"/>
        </w:rPr>
        <w:t xml:space="preserve">18. Airborne precautions (HIC.2.c)</w:t>
      </w:r>
    </w:p>
    <w:p>
      <w:pPr>
        <w:spacing w:after="120"/>
      </w:pPr>
      <w:r>
        <w:rPr>
          <w:sz w:val="22"/>
          <w:szCs w:val="22"/>
        </w:rPr>
        <w:t xml:space="preserve">Used for agents that stay suspended in air over distance and time — for example pulmonary and laryngeal tuberculosis, measles and chickenpox.</w:t>
      </w:r>
    </w:p>
    <w:p>
      <w:pPr>
        <w:pStyle w:val="ListParagraph"/>
        <w:numPr>
          <w:ilvl w:val="0"/>
          <w:numId w:val="1"/>
        </w:numPr>
        <w:spacing w:after="60"/>
      </w:pPr>
      <w:r>
        <w:rPr>
          <w:sz w:val="22"/>
          <w:szCs w:val="22"/>
        </w:rPr>
        <w:t xml:space="preserve">Place the patient in an airborne infection isolation room (AIIR): a single room held at negative pressure relative to the adjacent corridor, with the pressure differential monitored, and with air exhausted directly outdoors or recirculated only through HEPA filtration. The ventilation rate is at least 12 air changes per hour in new construction or renovated rooms and at least 6 air changes per hour in existing facilities.</w:t>
      </w:r>
    </w:p>
    <w:p>
      <w:pPr>
        <w:pStyle w:val="ListParagraph"/>
        <w:numPr>
          <w:ilvl w:val="0"/>
          <w:numId w:val="1"/>
        </w:numPr>
        <w:spacing w:after="60"/>
      </w:pPr>
      <w:r>
        <w:rPr>
          <w:sz w:val="22"/>
          <w:szCs w:val="22"/>
        </w:rPr>
        <w:t xml:space="preserve">Keep the door closed at all times except during entry and exit.</w:t>
      </w:r>
    </w:p>
    <w:p>
      <w:pPr>
        <w:pStyle w:val="ListParagraph"/>
        <w:numPr>
          <w:ilvl w:val="0"/>
          <w:numId w:val="1"/>
        </w:numPr>
        <w:spacing w:after="60"/>
      </w:pPr>
      <w:r>
        <w:rPr>
          <w:sz w:val="22"/>
          <w:szCs w:val="22"/>
        </w:rPr>
        <w:t xml:space="preserve">Staff put on a fit-tested particulate respirator (N95 or equivalent) before entering and perform a user seal check on each occasion. The respirator is removed only after leaving the room and closing the door.</w:t>
      </w:r>
    </w:p>
    <w:p>
      <w:pPr>
        <w:pStyle w:val="ListParagraph"/>
        <w:numPr>
          <w:ilvl w:val="0"/>
          <w:numId w:val="1"/>
        </w:numPr>
        <w:spacing w:after="60"/>
      </w:pPr>
      <w:r>
        <w:rPr>
          <w:sz w:val="22"/>
          <w:szCs w:val="22"/>
        </w:rPr>
        <w:t xml:space="preserve">Staff without immunity do not enter the room of a patient with measles or chickenpox where an immune member of staff is available.</w:t>
      </w:r>
    </w:p>
    <w:p>
      <w:pPr>
        <w:pStyle w:val="ListParagraph"/>
        <w:numPr>
          <w:ilvl w:val="0"/>
          <w:numId w:val="1"/>
        </w:numPr>
        <w:spacing w:after="60"/>
      </w:pPr>
      <w:r>
        <w:rPr>
          <w:sz w:val="22"/>
          <w:szCs w:val="22"/>
        </w:rPr>
        <w:t xml:space="preserve">The patient wears a surgical mask — not a respirator — when leaving the room, and journeys outside the room are limited to those that are medically necessary.</w:t>
      </w:r>
    </w:p>
    <w:p>
      <w:pPr>
        <w:pStyle w:val="ListParagraph"/>
        <w:numPr>
          <w:ilvl w:val="0"/>
          <w:numId w:val="1"/>
        </w:numPr>
        <w:spacing w:after="60"/>
      </w:pPr>
      <w:r>
        <w:rPr>
          <w:sz w:val="22"/>
          <w:szCs w:val="22"/>
        </w:rPr>
        <w:t xml:space="preserve">HMP Foundation operates a respiratory protection programme covering respirator training, fit-testing and periodic re-fit-testing. The number and location of AIIRs at HMP Foundation, and the arrangement to be used when no AIIR is available, are [Hospital to define].</w:t>
      </w:r>
    </w:p>
    <w:p>
      <w:pPr>
        <w:spacing w:after="90" w:before="240"/>
      </w:pPr>
      <w:r>
        <w:rPr>
          <w:b/>
          <w:bCs/>
          <w:sz w:val="23"/>
          <w:szCs w:val="23"/>
        </w:rPr>
        <w:t xml:space="preserve">19. Patient transport, and discontinuation of precautions (HIC.2.c)</w:t>
      </w:r>
    </w:p>
    <w:p>
      <w:pPr>
        <w:spacing w:after="120"/>
      </w:pPr>
      <w:r>
        <w:rPr>
          <w:sz w:val="22"/>
          <w:szCs w:val="22"/>
        </w:rPr>
        <w:t xml:space="preserve">Before a patient under transmission-based precautions is moved, the receiving department is informed of the precaution category so that it is ready. The infectious site is contained — a wound is covered with a dressing, a patient on droplet or airborne precautions wears a surgical mask. Staff who transport the patient wear the PPE needed for their own contact with the patient, but change contaminated PPE and perform hand hygiene before arriving at the receiving area, so that PPE worn in the patient room is not worn through public corridors.</w:t>
      </w:r>
    </w:p>
    <w:p>
      <w:pPr>
        <w:spacing w:after="120"/>
      </w:pPr>
      <w:r>
        <w:rPr>
          <w:sz w:val="22"/>
          <w:szCs w:val="22"/>
        </w:rPr>
        <w:t xml:space="preserve">Precautions are discontinued only on the ICN's or treating doctor's documented decision, based on clinical resolution, the required number of negative results, or the completion of a defined treatment period. The criteria and durations applied by HMP Foundation for each organism are [Hospital to define]. On discontinuation or discharge, terminal cleaning and disinfection of the room is carried out and recorded before the next patient is admitted to it.</w:t>
      </w:r>
    </w:p>
    <w:p>
      <w:pPr>
        <w:spacing w:after="120"/>
      </w:pPr>
      <w:r>
        <w:rPr>
          <w:sz w:val="22"/>
          <w:szCs w:val="22"/>
        </w:rPr>
        <w:t xml:space="preserve">Reference criteria for discontinuation. HMP Foundation adopts the following as its standing criteria, taken from the CDC Guideline for Isolation Precautions, Appendix A. Where the treating doctor departs from a criterion for an individual patient, the departure and its reason are recorded in the case record and notified to the ICN.</w:t>
      </w:r>
    </w:p>
    <w:p>
      <w:pPr>
        <w:pStyle w:val="ListParagraph"/>
        <w:numPr>
          <w:ilvl w:val="0"/>
          <w:numId w:val="1"/>
        </w:numPr>
        <w:spacing w:after="60"/>
      </w:pPr>
      <w:r>
        <w:rPr>
          <w:sz w:val="22"/>
          <w:szCs w:val="22"/>
        </w:rPr>
        <w:t xml:space="preserve">Measles — airborne precautions until 4 days after the onset of rash, and for the whole duration of the illness in an immunocompromised patient.</w:t>
      </w:r>
    </w:p>
    <w:p>
      <w:pPr>
        <w:pStyle w:val="ListParagraph"/>
        <w:numPr>
          <w:ilvl w:val="0"/>
          <w:numId w:val="1"/>
        </w:numPr>
        <w:spacing w:after="60"/>
      </w:pPr>
      <w:r>
        <w:rPr>
          <w:sz w:val="22"/>
          <w:szCs w:val="22"/>
        </w:rPr>
        <w:t xml:space="preserve">Chickenpox, and disseminated herpes zoster — airborne and contact precautions until all lesions are dry and crusted.</w:t>
      </w:r>
    </w:p>
    <w:p>
      <w:pPr>
        <w:pStyle w:val="ListParagraph"/>
        <w:numPr>
          <w:ilvl w:val="0"/>
          <w:numId w:val="1"/>
        </w:numPr>
        <w:spacing w:after="60"/>
      </w:pPr>
      <w:r>
        <w:rPr>
          <w:sz w:val="22"/>
          <w:szCs w:val="22"/>
        </w:rPr>
        <w:t xml:space="preserve">Pulmonary or laryngeal tuberculosis, confirmed — airborne precautions discontinued only when the patient is on effective therapy, is improving clinically, and has three consecutive sputum smears negative for acid-fast bacilli collected on separate days.</w:t>
      </w:r>
    </w:p>
    <w:p>
      <w:pPr>
        <w:pStyle w:val="ListParagraph"/>
        <w:numPr>
          <w:ilvl w:val="0"/>
          <w:numId w:val="1"/>
        </w:numPr>
        <w:spacing w:after="60"/>
      </w:pPr>
      <w:r>
        <w:rPr>
          <w:sz w:val="22"/>
          <w:szCs w:val="22"/>
        </w:rPr>
        <w:t xml:space="preserve">Pulmonary or laryngeal tuberculosis, suspected — airborne precautions discontinued only when the likelihood of infectious tuberculosis is judged negligible and either another diagnosis explains the clinical syndrome or three sputum smears for acid-fast bacilli are negative, each specimen collected 8 to 24 hours apart with at least one taken in the early morning.</w:t>
      </w:r>
    </w:p>
    <w:p>
      <w:pPr>
        <w:pStyle w:val="ListParagraph"/>
        <w:numPr>
          <w:ilvl w:val="0"/>
          <w:numId w:val="1"/>
        </w:numPr>
        <w:spacing w:after="60"/>
      </w:pPr>
      <w:r>
        <w:rPr>
          <w:sz w:val="22"/>
          <w:szCs w:val="22"/>
        </w:rPr>
        <w:t xml:space="preserve">Pertussis — droplet precautions until 5 days after effective antibiotic therapy has started.</w:t>
      </w:r>
    </w:p>
    <w:p>
      <w:pPr>
        <w:pStyle w:val="ListParagraph"/>
        <w:numPr>
          <w:ilvl w:val="0"/>
          <w:numId w:val="1"/>
        </w:numPr>
        <w:spacing w:after="60"/>
      </w:pPr>
      <w:r>
        <w:rPr>
          <w:sz w:val="22"/>
          <w:szCs w:val="22"/>
        </w:rPr>
        <w:t xml:space="preserve">Meningococcal disease or meningitis, known or suspected — droplet precautions until 24 hours after effective therapy has started.</w:t>
      </w:r>
    </w:p>
    <w:p>
      <w:pPr>
        <w:pStyle w:val="ListParagraph"/>
        <w:numPr>
          <w:ilvl w:val="0"/>
          <w:numId w:val="1"/>
        </w:numPr>
        <w:spacing w:after="60"/>
      </w:pPr>
      <w:r>
        <w:rPr>
          <w:sz w:val="22"/>
          <w:szCs w:val="22"/>
        </w:rPr>
        <w:t xml:space="preserve">Mumps — droplet precautions until 5 days after the onset of parotid swelling.</w:t>
      </w:r>
    </w:p>
    <w:p>
      <w:pPr>
        <w:pStyle w:val="ListParagraph"/>
        <w:numPr>
          <w:ilvl w:val="0"/>
          <w:numId w:val="1"/>
        </w:numPr>
        <w:spacing w:after="60"/>
      </w:pPr>
      <w:r>
        <w:rPr>
          <w:sz w:val="22"/>
          <w:szCs w:val="22"/>
        </w:rPr>
        <w:t xml:space="preserve">Group A streptococcal pneumonia — droplet precautions until 24 hours after effective therapy has started, with contact precautions added where skin lesions are present.</w:t>
      </w:r>
    </w:p>
    <w:p>
      <w:pPr>
        <w:pStyle w:val="ListParagraph"/>
        <w:numPr>
          <w:ilvl w:val="0"/>
          <w:numId w:val="1"/>
        </w:numPr>
        <w:spacing w:after="60"/>
      </w:pPr>
      <w:r>
        <w:rPr>
          <w:sz w:val="22"/>
          <w:szCs w:val="22"/>
        </w:rPr>
        <w:t xml:space="preserve">Clostridioides difficile — contact precautions for the duration of the illness, with hands washed using soap and running water rather than handrub because alcohol is not sporicidal, and a hypochlorite agent used for environmental cleaning where transmission continues.</w:t>
      </w:r>
    </w:p>
    <w:p>
      <w:pPr>
        <w:pStyle w:val="ListParagraph"/>
        <w:numPr>
          <w:ilvl w:val="0"/>
          <w:numId w:val="1"/>
        </w:numPr>
        <w:spacing w:after="60"/>
      </w:pPr>
      <w:r>
        <w:rPr>
          <w:sz w:val="22"/>
          <w:szCs w:val="22"/>
        </w:rPr>
        <w:t xml:space="preserve">Norovirus gastroenteritis — contact precautions, with affected patients cohorted to separate air spaces and toilet facilities where an outbreak is in progress.</w:t>
      </w:r>
    </w:p>
    <w:p>
      <w:pPr>
        <w:pStyle w:val="ListParagraph"/>
        <w:numPr>
          <w:ilvl w:val="0"/>
          <w:numId w:val="1"/>
        </w:numPr>
        <w:spacing w:after="60"/>
      </w:pPr>
      <w:r>
        <w:rPr>
          <w:sz w:val="22"/>
          <w:szCs w:val="22"/>
        </w:rPr>
        <w:t xml:space="preserve">Multidrug-resistant organisms — contact precautions, with the duration determined by the infection control programme of HMP Foundation rather than by any fixed period, recorded as a standing decision of the ICC and reviewed when local resistance patterns shift.</w:t>
      </w:r>
    </w:p>
    <w:p>
      <w:pPr>
        <w:spacing w:after="120"/>
      </w:pPr>
      <w:r>
        <w:rPr>
          <w:sz w:val="22"/>
          <w:szCs w:val="22"/>
        </w:rPr>
        <w:t xml:space="preserve">Seasonal influenza is deliberately absent from the list above. The CDC appendix carries no duration entry for it and refers instead to separate seasonal influenza guidance, so HMP Foundation sets its own criterion at [Hospital to define] and reconsiders it each season rather than inheriting a figure that the source does not give.</w:t>
      </w:r>
    </w:p>
    <w:p>
      <w:pPr>
        <w:spacing w:after="120"/>
      </w:pPr>
      <w:r>
        <w:rPr>
          <w:sz w:val="22"/>
          <w:szCs w:val="22"/>
        </w:rPr>
        <w:t xml:space="preserve">For any organism not named above, the criterion applied is [Hospital to define], set by the ICN in consultation with the treating doctor and recorded in the precaution assignment register against that patient.</w:t>
      </w:r>
    </w:p>
    <w:p>
      <w:pPr>
        <w:spacing w:after="90" w:before="240"/>
      </w:pPr>
      <w:r>
        <w:rPr>
          <w:b/>
          <w:bCs/>
          <w:sz w:val="23"/>
          <w:szCs w:val="23"/>
        </w:rPr>
        <w:t xml:space="preserve">20. Safe injection practice — the core rules (HIC.2.d)</w:t>
      </w:r>
    </w:p>
    <w:p>
      <w:pPr>
        <w:spacing w:after="120"/>
      </w:pPr>
      <w:r>
        <w:rPr>
          <w:sz w:val="22"/>
          <w:szCs w:val="22"/>
        </w:rPr>
        <w:t xml:space="preserve">Every injection given at HMP Foundation follows the principle of one needle, one syringe, one patient, one time.</w:t>
      </w:r>
    </w:p>
    <w:p>
      <w:pPr>
        <w:pStyle w:val="ListParagraph"/>
        <w:numPr>
          <w:ilvl w:val="0"/>
          <w:numId w:val="1"/>
        </w:numPr>
        <w:spacing w:after="60"/>
      </w:pPr>
      <w:r>
        <w:rPr>
          <w:sz w:val="22"/>
          <w:szCs w:val="22"/>
        </w:rPr>
        <w:t xml:space="preserve">Prepare and give every injection using aseptic technique, after hand hygiene.</w:t>
      </w:r>
    </w:p>
    <w:p>
      <w:pPr>
        <w:pStyle w:val="ListParagraph"/>
        <w:numPr>
          <w:ilvl w:val="0"/>
          <w:numId w:val="1"/>
        </w:numPr>
        <w:spacing w:after="60"/>
      </w:pPr>
      <w:r>
        <w:rPr>
          <w:sz w:val="22"/>
          <w:szCs w:val="22"/>
        </w:rPr>
        <w:t xml:space="preserve">Use a new sterile needle and a new sterile syringe for each patient and for each entry into any medication container. Once used, both the needle and the syringe are contaminated and are discarded, even if the needle is changed.</w:t>
      </w:r>
    </w:p>
    <w:p>
      <w:pPr>
        <w:pStyle w:val="ListParagraph"/>
        <w:numPr>
          <w:ilvl w:val="0"/>
          <w:numId w:val="1"/>
        </w:numPr>
        <w:spacing w:after="60"/>
      </w:pPr>
      <w:r>
        <w:rPr>
          <w:sz w:val="22"/>
          <w:szCs w:val="22"/>
        </w:rPr>
        <w:t xml:space="preserve">Never reuse a syringe to draw up a further dose for the same or another patient, and never re-enter a vial, bag or bottle with a needle or syringe that has already been used on a patient.</w:t>
      </w:r>
    </w:p>
    <w:p>
      <w:pPr>
        <w:pStyle w:val="ListParagraph"/>
        <w:numPr>
          <w:ilvl w:val="0"/>
          <w:numId w:val="1"/>
        </w:numPr>
        <w:spacing w:after="60"/>
      </w:pPr>
      <w:r>
        <w:rPr>
          <w:sz w:val="22"/>
          <w:szCs w:val="22"/>
        </w:rPr>
        <w:t xml:space="preserve">Do not administer medication from a single syringe to more than one patient.</w:t>
      </w:r>
    </w:p>
    <w:p>
      <w:pPr>
        <w:pStyle w:val="ListParagraph"/>
        <w:numPr>
          <w:ilvl w:val="0"/>
          <w:numId w:val="1"/>
        </w:numPr>
        <w:spacing w:after="60"/>
      </w:pPr>
      <w:r>
        <w:rPr>
          <w:sz w:val="22"/>
          <w:szCs w:val="22"/>
        </w:rPr>
        <w:t xml:space="preserve">Prepare injections in a clean, designated medication preparation area, physically separated from any area where contaminated items are placed.</w:t>
      </w:r>
    </w:p>
    <w:p>
      <w:pPr>
        <w:pStyle w:val="ListParagraph"/>
        <w:numPr>
          <w:ilvl w:val="0"/>
          <w:numId w:val="1"/>
        </w:numPr>
        <w:spacing w:after="60"/>
      </w:pPr>
      <w:r>
        <w:rPr>
          <w:sz w:val="22"/>
          <w:szCs w:val="22"/>
        </w:rPr>
        <w:t xml:space="preserve">Prepare each dose as close as practicable to the time of administration; do not carry pre-drawn, unlabelled syringes on a trolley for later use.</w:t>
      </w:r>
    </w:p>
    <w:p>
      <w:pPr>
        <w:pStyle w:val="ListParagraph"/>
        <w:numPr>
          <w:ilvl w:val="0"/>
          <w:numId w:val="1"/>
        </w:numPr>
        <w:spacing w:after="60"/>
      </w:pPr>
      <w:r>
        <w:rPr>
          <w:sz w:val="22"/>
          <w:szCs w:val="22"/>
        </w:rPr>
        <w:t xml:space="preserve">Label every prepared syringe with the drug name, strength, and the date and time of preparation.</w:t>
      </w:r>
    </w:p>
    <w:p>
      <w:pPr>
        <w:spacing w:after="120"/>
      </w:pPr>
      <w:r>
        <w:rPr>
          <w:sz w:val="22"/>
          <w:szCs w:val="22"/>
        </w:rPr>
        <w:t xml:space="preserve">Patients and attendants at HMP Foundation are entitled to see the needle and syringe being opened from an intact sterile pack.</w:t>
      </w:r>
    </w:p>
    <w:p>
      <w:pPr>
        <w:spacing w:after="90" w:before="240"/>
      </w:pPr>
      <w:r>
        <w:rPr>
          <w:b/>
          <w:bCs/>
          <w:sz w:val="23"/>
          <w:szCs w:val="23"/>
        </w:rPr>
        <w:t xml:space="preserve">21. Vials, ampoules and medication preparation (HIC.2.d)</w:t>
      </w:r>
    </w:p>
    <w:p>
      <w:pPr>
        <w:pStyle w:val="ListParagraph"/>
        <w:numPr>
          <w:ilvl w:val="0"/>
          <w:numId w:val="1"/>
        </w:numPr>
        <w:spacing w:after="60"/>
      </w:pPr>
      <w:r>
        <w:rPr>
          <w:sz w:val="22"/>
          <w:szCs w:val="22"/>
        </w:rPr>
        <w:t xml:space="preserve">Single-dose and single-use vials, ampoules, and bags or bottles of intravenous solution are used for one dose for one patient and are then discarded, even if unused product remains. Leftover contents are never pooled or saved for a later dose or another patient.</w:t>
      </w:r>
    </w:p>
    <w:p>
      <w:pPr>
        <w:pStyle w:val="ListParagraph"/>
        <w:numPr>
          <w:ilvl w:val="0"/>
          <w:numId w:val="1"/>
        </w:numPr>
        <w:spacing w:after="60"/>
      </w:pPr>
      <w:r>
        <w:rPr>
          <w:sz w:val="22"/>
          <w:szCs w:val="22"/>
        </w:rPr>
        <w:t xml:space="preserve">Multi-dose vials are avoided where a single-dose presentation exists. Where a multi-dose vial must be used, it is dedicated to a single patient wherever possible, and is kept out of the immediate patient treatment area so it cannot be contaminated by spray or splash.</w:t>
      </w:r>
    </w:p>
    <w:p>
      <w:pPr>
        <w:pStyle w:val="ListParagraph"/>
        <w:numPr>
          <w:ilvl w:val="0"/>
          <w:numId w:val="1"/>
        </w:numPr>
        <w:spacing w:after="60"/>
      </w:pPr>
      <w:r>
        <w:rPr>
          <w:sz w:val="22"/>
          <w:szCs w:val="22"/>
        </w:rPr>
        <w:t xml:space="preserve">Before each entry into a multi-dose vial, disinfect the rubber septum with 70% alcohol and allow it to dry. Enter only with a sterile needle and a sterile syringe.</w:t>
      </w:r>
    </w:p>
    <w:p>
      <w:pPr>
        <w:pStyle w:val="ListParagraph"/>
        <w:numPr>
          <w:ilvl w:val="0"/>
          <w:numId w:val="1"/>
        </w:numPr>
        <w:spacing w:after="60"/>
      </w:pPr>
      <w:r>
        <w:rPr>
          <w:sz w:val="22"/>
          <w:szCs w:val="22"/>
        </w:rPr>
        <w:t xml:space="preserve">Write the date of first entry on every multi-dose vial and discard it by the manufacturer's stated beyond-use date, or immediately if sterility is compromised or is in question.</w:t>
      </w:r>
    </w:p>
    <w:p>
      <w:pPr>
        <w:pStyle w:val="ListParagraph"/>
        <w:numPr>
          <w:ilvl w:val="0"/>
          <w:numId w:val="1"/>
        </w:numPr>
        <w:spacing w:after="60"/>
      </w:pPr>
      <w:r>
        <w:rPr>
          <w:sz w:val="22"/>
          <w:szCs w:val="22"/>
        </w:rPr>
        <w:t xml:space="preserve">Bags and bottles of intravenous solution are not used as a common source of supply for more than one patient.</w:t>
      </w:r>
    </w:p>
    <w:p>
      <w:pPr>
        <w:spacing w:after="90" w:before="240"/>
      </w:pPr>
      <w:r>
        <w:rPr>
          <w:b/>
          <w:bCs/>
          <w:sz w:val="23"/>
          <w:szCs w:val="23"/>
        </w:rPr>
        <w:t xml:space="preserve">22. Infusion and intravascular device practice (HIC.2.d)</w:t>
      </w:r>
    </w:p>
    <w:p>
      <w:pPr>
        <w:pStyle w:val="ListParagraph"/>
        <w:numPr>
          <w:ilvl w:val="0"/>
          <w:numId w:val="1"/>
        </w:numPr>
        <w:spacing w:after="60"/>
      </w:pPr>
      <w:r>
        <w:rPr>
          <w:sz w:val="22"/>
          <w:szCs w:val="22"/>
        </w:rPr>
        <w:t xml:space="preserve">Perform hand hygiene and use aseptic technique for insertion of, and every access to, any intravascular device.</w:t>
      </w:r>
    </w:p>
    <w:p>
      <w:pPr>
        <w:pStyle w:val="ListParagraph"/>
        <w:numPr>
          <w:ilvl w:val="0"/>
          <w:numId w:val="1"/>
        </w:numPr>
        <w:spacing w:after="60"/>
      </w:pPr>
      <w:r>
        <w:rPr>
          <w:sz w:val="22"/>
          <w:szCs w:val="22"/>
        </w:rPr>
        <w:t xml:space="preserve">Disinfect the skin at the insertion site with the antiseptic specified by HMP Foundation and allow it to dry fully before puncture.</w:t>
      </w:r>
    </w:p>
    <w:p>
      <w:pPr>
        <w:pStyle w:val="ListParagraph"/>
        <w:numPr>
          <w:ilvl w:val="0"/>
          <w:numId w:val="1"/>
        </w:numPr>
        <w:spacing w:after="60"/>
      </w:pPr>
      <w:r>
        <w:rPr>
          <w:sz w:val="22"/>
          <w:szCs w:val="22"/>
        </w:rPr>
        <w:t xml:space="preserve">Disinfect the hub, port or connector before every access, and allow it to dry.</w:t>
      </w:r>
    </w:p>
    <w:p>
      <w:pPr>
        <w:pStyle w:val="ListParagraph"/>
        <w:numPr>
          <w:ilvl w:val="0"/>
          <w:numId w:val="1"/>
        </w:numPr>
        <w:spacing w:after="60"/>
      </w:pPr>
      <w:r>
        <w:rPr>
          <w:sz w:val="22"/>
          <w:szCs w:val="22"/>
        </w:rPr>
        <w:t xml:space="preserve">Cover the insertion site with a sterile dressing, and record on it the date of insertion and the date the dressing was applied.</w:t>
      </w:r>
    </w:p>
    <w:p>
      <w:pPr>
        <w:pStyle w:val="ListParagraph"/>
        <w:numPr>
          <w:ilvl w:val="0"/>
          <w:numId w:val="1"/>
        </w:numPr>
        <w:spacing w:after="60"/>
      </w:pPr>
      <w:r>
        <w:rPr>
          <w:sz w:val="22"/>
          <w:szCs w:val="22"/>
        </w:rPr>
        <w:t xml:space="preserve">Inspect the site at least once every shift for redness, swelling, tenderness, discharge or dressing failure, and record the finding in the nursing notes.</w:t>
      </w:r>
    </w:p>
    <w:p>
      <w:pPr>
        <w:pStyle w:val="ListParagraph"/>
        <w:numPr>
          <w:ilvl w:val="0"/>
          <w:numId w:val="1"/>
        </w:numPr>
        <w:spacing w:after="60"/>
      </w:pPr>
      <w:r>
        <w:rPr>
          <w:sz w:val="22"/>
          <w:szCs w:val="22"/>
        </w:rPr>
        <w:t xml:space="preserve">Remove any device as soon as it is no longer clinically needed. Review the continued need for every intravascular device at each daily round and record the decision.</w:t>
      </w:r>
    </w:p>
    <w:p>
      <w:pPr>
        <w:pStyle w:val="ListParagraph"/>
        <w:numPr>
          <w:ilvl w:val="0"/>
          <w:numId w:val="1"/>
        </w:numPr>
        <w:spacing w:after="60"/>
      </w:pPr>
      <w:r>
        <w:rPr>
          <w:sz w:val="22"/>
          <w:szCs w:val="22"/>
        </w:rPr>
        <w:t xml:space="preserve">Replace administration sets at the frequency defined by HMP Foundation for each fluid type — [Hospital to define].</w:t>
      </w:r>
    </w:p>
    <w:p>
      <w:pPr>
        <w:pStyle w:val="ListParagraph"/>
        <w:numPr>
          <w:ilvl w:val="0"/>
          <w:numId w:val="1"/>
        </w:numPr>
        <w:spacing w:after="60"/>
      </w:pPr>
      <w:r>
        <w:rPr>
          <w:sz w:val="22"/>
          <w:szCs w:val="22"/>
        </w:rPr>
        <w:t xml:space="preserve">Insertion and maintenance bundle compliance is audited using a structured checklist, at a frequency of [Hospital to define], with results and corrective actions tabled at the ICC.</w:t>
      </w:r>
    </w:p>
    <w:p>
      <w:pPr>
        <w:spacing w:after="90" w:before="240"/>
      </w:pPr>
      <w:r>
        <w:rPr>
          <w:b/>
          <w:bCs/>
          <w:sz w:val="23"/>
          <w:szCs w:val="23"/>
        </w:rPr>
        <w:t xml:space="preserve">23. Staff health and immunisation — protection before exposure</w:t>
      </w:r>
    </w:p>
    <w:p>
      <w:pPr>
        <w:spacing w:after="120"/>
      </w:pPr>
      <w:r>
        <w:rPr>
          <w:sz w:val="22"/>
          <w:szCs w:val="22"/>
        </w:rPr>
        <w:t xml:space="preserve">HMP Foundation protects its staff before an exposure occurs, not only after one. Occupational health, or the designated officer where no separate function exists, maintains an immunisation record for every member of staff and for every contracted or outsourced worker who may come into contact with blood, body fluids, biomedical waste or food.</w:t>
      </w:r>
    </w:p>
    <w:p>
      <w:pPr>
        <w:spacing w:after="120"/>
      </w:pPr>
      <w:r>
        <w:rPr>
          <w:sz w:val="22"/>
          <w:szCs w:val="22"/>
        </w:rPr>
        <w:t xml:space="preserve">Hepatitis B vaccination is offered to all staff with any potential exposure to blood or body fluids, at no cost to the individual, and is arranged at induction rather than deferred. The vaccine is given intramuscularly in the deltoid as a three-dose series at 0, 1 and 6 months.</w:t>
      </w:r>
    </w:p>
    <w:p>
      <w:pPr>
        <w:spacing w:after="120"/>
      </w:pPr>
      <w:r>
        <w:rPr>
          <w:sz w:val="22"/>
          <w:szCs w:val="22"/>
        </w:rPr>
        <w:t xml:space="preserve">Serological confirmation of protection follows the series: anti-HBs is tested one to two months after the final dose, and a level of 10 mIU/mL or above is taken as protective. Staff whose level is below this threshold are offered a repeat course and retested. A member of staff who does not respond to a second complete series is regarded as susceptible, is counselled accordingly, and is managed on the assumption that hepatitis B post-exposure prophylaxis will be required after any significant exposure. Results are recorded against the individual and are used at the time of an exposure so that a decision is not delayed while immunity is established.</w:t>
      </w:r>
    </w:p>
    <w:p>
      <w:pPr>
        <w:pStyle w:val="ListParagraph"/>
        <w:numPr>
          <w:ilvl w:val="0"/>
          <w:numId w:val="1"/>
        </w:numPr>
        <w:spacing w:after="60"/>
      </w:pPr>
      <w:r>
        <w:rPr>
          <w:sz w:val="22"/>
          <w:szCs w:val="22"/>
        </w:rPr>
        <w:t xml:space="preserve">Other vaccinations offered by HMP Foundation are:</w:t>
      </w:r>
    </w:p>
    <w:p>
      <w:pPr>
        <w:pStyle w:val="ListParagraph"/>
        <w:numPr>
          <w:ilvl w:val="0"/>
          <w:numId w:val="1"/>
        </w:numPr>
        <w:spacing w:after="60"/>
      </w:pPr>
      <w:r>
        <w:rPr>
          <w:sz w:val="22"/>
          <w:szCs w:val="22"/>
        </w:rPr>
        <w:t xml:space="preserve">typhoid vaccination for food handlers and dietary staff;</w:t>
      </w:r>
    </w:p>
    <w:p>
      <w:pPr>
        <w:pStyle w:val="ListParagraph"/>
        <w:numPr>
          <w:ilvl w:val="0"/>
          <w:numId w:val="1"/>
        </w:numPr>
        <w:spacing w:after="60"/>
      </w:pPr>
      <w:r>
        <w:rPr>
          <w:sz w:val="22"/>
          <w:szCs w:val="22"/>
        </w:rPr>
        <w:t xml:space="preserve">tetanus-containing vaccine (Td or tetanus toxoid) for staff who handle biomedical waste and for others at risk of contaminated injury; and</w:t>
      </w:r>
    </w:p>
    <w:p>
      <w:pPr>
        <w:pStyle w:val="ListParagraph"/>
        <w:numPr>
          <w:ilvl w:val="0"/>
          <w:numId w:val="1"/>
        </w:numPr>
        <w:spacing w:after="60"/>
      </w:pPr>
      <w:r>
        <w:rPr>
          <w:sz w:val="22"/>
          <w:szCs w:val="22"/>
        </w:rPr>
        <w:t xml:space="preserve">any further vaccine indicated by national policy, by the individual's role, or by an outbreak situation — [Hospital to define].</w:t>
      </w:r>
    </w:p>
    <w:p>
      <w:pPr>
        <w:spacing w:after="120"/>
      </w:pPr>
      <w:r>
        <w:rPr>
          <w:sz w:val="22"/>
          <w:szCs w:val="22"/>
        </w:rPr>
        <w:t xml:space="preserve">Vaccination is offered and encouraged, and reasons for declining are recorded on a signed declination form so that HMP Foundation can demonstrate the offer was made. Staff with an illness transmissible to patients report to occupational health and are assigned to duties away from direct patient contact until fit, and are not permitted to work through an infectious illness on the basis of staffing pressure.</w:t>
      </w:r>
    </w:p>
    <w:p>
      <w:pPr>
        <w:spacing w:after="90" w:before="240"/>
      </w:pPr>
      <w:r>
        <w:rPr>
          <w:b/>
          <w:bCs/>
          <w:sz w:val="23"/>
          <w:szCs w:val="23"/>
        </w:rPr>
        <w:t xml:space="preserve">24. Sharps safety and management of exposure to blood and body fluids</w:t>
      </w:r>
    </w:p>
    <w:p>
      <w:pPr>
        <w:pStyle w:val="ListParagraph"/>
        <w:numPr>
          <w:ilvl w:val="0"/>
          <w:numId w:val="1"/>
        </w:numPr>
        <w:spacing w:after="60"/>
      </w:pPr>
      <w:r>
        <w:rPr>
          <w:sz w:val="22"/>
          <w:szCs w:val="22"/>
        </w:rPr>
        <w:t xml:space="preserve">Preventing the injury:</w:t>
      </w:r>
    </w:p>
    <w:p>
      <w:pPr>
        <w:pStyle w:val="ListParagraph"/>
        <w:numPr>
          <w:ilvl w:val="0"/>
          <w:numId w:val="1"/>
        </w:numPr>
        <w:spacing w:after="60"/>
      </w:pPr>
      <w:r>
        <w:rPr>
          <w:sz w:val="22"/>
          <w:szCs w:val="22"/>
        </w:rPr>
        <w:t xml:space="preserve">Needles are never recapped. Where recapping is genuinely unavoidable, the single-handed scoop technique is used and never a two-handed technique.</w:t>
      </w:r>
    </w:p>
    <w:p>
      <w:pPr>
        <w:pStyle w:val="ListParagraph"/>
        <w:numPr>
          <w:ilvl w:val="0"/>
          <w:numId w:val="1"/>
        </w:numPr>
        <w:spacing w:after="60"/>
      </w:pPr>
      <w:r>
        <w:rPr>
          <w:sz w:val="22"/>
          <w:szCs w:val="22"/>
        </w:rPr>
        <w:t xml:space="preserve">Used needles are not bent, broken, sheared or removed from the syringe by hand.</w:t>
      </w:r>
    </w:p>
    <w:p>
      <w:pPr>
        <w:pStyle w:val="ListParagraph"/>
        <w:numPr>
          <w:ilvl w:val="0"/>
          <w:numId w:val="1"/>
        </w:numPr>
        <w:spacing w:after="60"/>
      </w:pPr>
      <w:r>
        <w:rPr>
          <w:sz w:val="22"/>
          <w:szCs w:val="22"/>
        </w:rPr>
        <w:t xml:space="preserve">The person who uses a sharp disposes of it, personally and immediately, into a puncture-proof, leak-proof, tamper-proof container placed within arm's reach at the point of use. Sharps are never passed hand to hand, left on a trolley or bed, or carried to a distant container.</w:t>
      </w:r>
    </w:p>
    <w:p>
      <w:pPr>
        <w:pStyle w:val="ListParagraph"/>
        <w:numPr>
          <w:ilvl w:val="0"/>
          <w:numId w:val="1"/>
        </w:numPr>
        <w:spacing w:after="60"/>
      </w:pPr>
      <w:r>
        <w:rPr>
          <w:sz w:val="22"/>
          <w:szCs w:val="22"/>
        </w:rPr>
        <w:t xml:space="preserve">Sharps containers are closed and replaced when filled to the marked line — approximately three quarters full — and are never overfilled or reopened.</w:t>
      </w:r>
    </w:p>
    <w:p>
      <w:pPr>
        <w:pStyle w:val="ListParagraph"/>
        <w:numPr>
          <w:ilvl w:val="0"/>
          <w:numId w:val="1"/>
        </w:numPr>
        <w:spacing w:after="60"/>
      </w:pPr>
      <w:r>
        <w:rPr>
          <w:sz w:val="22"/>
          <w:szCs w:val="22"/>
        </w:rPr>
        <w:t xml:space="preserve">Safety-engineered devices with needle-retraction or shielding are used where HMP Foundation has adopted them; a hands-free neutral zone is used for passing sharps during procedures.</w:t>
      </w:r>
    </w:p>
    <w:p>
      <w:pPr>
        <w:spacing w:after="120"/>
      </w:pPr>
      <w:r>
        <w:rPr>
          <w:sz w:val="22"/>
          <w:szCs w:val="22"/>
        </w:rPr>
        <w:t xml:space="preserve">Immediately after a needlestick injury, a cut from a contaminated sharp, or a splash of blood or body fluid on to broken skin or a mucous membrane:
1. Wash the site with soap and running water. The wound is not squeezed to express fluid, is not scrubbed and is not sucked, and no caustic agent such as bleach is applied to it. An antiseptic or disinfectant is never injected into the wound. Applying an antiseptic to the site after washing is not prohibited, and remains common practice in India, but there is no evidence that it reduces transmission and it is never a substitute for washing. Irrigate eyes or other mucous membranes with clean water or normal saline.
2. Report at once to the supervisor and the ICN or occupational health. The exposure is not deferred to the end of a shift, because prophylaxis is time-critical.
3. Record the exposure in the sharps injury register with the date, time, place, device, procedure, circumstances and depth or type of exposure.
4. Assess the source. With appropriate consent and counselling, test the source patient for HIV, hepatitis B and hepatitis C, and check the exposed worker's baseline status and hepatitis B immunity from the immunisation record held under step 23.</w:t>
      </w:r>
    </w:p>
    <w:p>
      <w:pPr>
        <w:pStyle w:val="ListParagraph"/>
        <w:numPr>
          <w:ilvl w:val="0"/>
          <w:numId w:val="1"/>
        </w:numPr>
        <w:spacing w:after="60"/>
      </w:pPr>
      <w:r>
        <w:rPr>
          <w:sz w:val="22"/>
          <w:szCs w:val="22"/>
        </w:rPr>
        <w:t xml:space="preserve">Prophylaxis and follow-up:</w:t>
      </w:r>
    </w:p>
    <w:p>
      <w:pPr>
        <w:pStyle w:val="ListParagraph"/>
        <w:numPr>
          <w:ilvl w:val="0"/>
          <w:numId w:val="1"/>
        </w:numPr>
        <w:spacing w:after="60"/>
      </w:pPr>
      <w:r>
        <w:rPr>
          <w:sz w:val="22"/>
          <w:szCs w:val="22"/>
        </w:rPr>
        <w:t xml:space="preserve">HIV: where prophylaxis is indicated, the first dose is given as soon as possible, ideally within hours of the exposure and preferably within two, and is not started beyond 72 hours after the exposure, after which it is not considered effective. This is the same rule, in the same words, as the occupational health and post-exposure policy of HMP Foundation, which owns the detail; if either document changes it, the other is changed in the same pass. The course runs for 28 days, with adherence support and follow-up testing.</w:t>
      </w:r>
    </w:p>
    <w:p>
      <w:pPr>
        <w:pStyle w:val="ListParagraph"/>
        <w:numPr>
          <w:ilvl w:val="0"/>
          <w:numId w:val="1"/>
        </w:numPr>
        <w:spacing w:after="60"/>
      </w:pPr>
      <w:r>
        <w:rPr>
          <w:sz w:val="22"/>
          <w:szCs w:val="22"/>
        </w:rPr>
        <w:t xml:space="preserve">Hepatitis B: prophylaxis is started immediately and ideally within 24 hours. Hepatitis B immune globulin and vaccine are given according to the exposed worker's immunity status and, when given together, are injected at separate sites. The interval within which prophylaxis remains useful after a percutaneous exposure is unlikely to extend beyond 7 days, so delay is not acceptable.</w:t>
      </w:r>
    </w:p>
    <w:p>
      <w:pPr>
        <w:pStyle w:val="ListParagraph"/>
        <w:numPr>
          <w:ilvl w:val="0"/>
          <w:numId w:val="1"/>
        </w:numPr>
        <w:spacing w:after="60"/>
      </w:pPr>
      <w:r>
        <w:rPr>
          <w:sz w:val="22"/>
          <w:szCs w:val="22"/>
        </w:rPr>
        <w:t xml:space="preserve">Hepatitis C: no vaccine and no post-exposure prophylaxis exist. Management is baseline and follow-up testing, with prompt referral for treatment if infection is detected.</w:t>
      </w:r>
    </w:p>
    <w:p>
      <w:pPr>
        <w:pStyle w:val="ListParagraph"/>
        <w:numPr>
          <w:ilvl w:val="0"/>
          <w:numId w:val="1"/>
        </w:numPr>
        <w:spacing w:after="60"/>
      </w:pPr>
      <w:r>
        <w:rPr>
          <w:sz w:val="22"/>
          <w:szCs w:val="22"/>
        </w:rPr>
        <w:t xml:space="preserve">The specific regimens, the responsible officer, the out-of-hours pathway and the follow-up testing schedule used by HMP Foundation are set out in its Post-Exposure Prophylaxis Protocol — [Hospital to define].</w:t>
      </w:r>
    </w:p>
    <w:p>
      <w:pPr>
        <w:spacing w:after="120"/>
      </w:pPr>
      <w:r>
        <w:rPr>
          <w:sz w:val="22"/>
          <w:szCs w:val="22"/>
        </w:rPr>
        <w:t xml:space="preserve">Every exposure is reviewed at the ICC to identify the device, procedure, area and time of shift involved, so that the cause is corrected. Reporting is not penalised; under-reporting is treated as the more serious failure.</w:t>
      </w:r>
    </w:p>
    <w:p>
      <w:pPr>
        <w:spacing w:after="90" w:before="240"/>
      </w:pPr>
      <w:r>
        <w:rPr>
          <w:b/>
          <w:bCs/>
          <w:sz w:val="23"/>
          <w:szCs w:val="23"/>
        </w:rPr>
        <w:t xml:space="preserve">25. Management of blood and body fluid spills</w:t>
      </w:r>
    </w:p>
    <w:p>
      <w:pPr>
        <w:spacing w:after="120"/>
      </w:pPr>
      <w:r>
        <w:rPr>
          <w:sz w:val="22"/>
          <w:szCs w:val="22"/>
        </w:rPr>
        <w:t xml:space="preserve">Every clinical area of HMP Foundation keeps a spill kit that is accessible without leaving the area, and staff on duty are able to locate and use it. The kit contains gloves, a plastic apron, a mask and eye protection, absorbent material, a scoop or forceps and a small dustpan for any broken glass, the hospital's chlorine-releasing disinfectant with a measuring aid, yellow biomedical waste bags, and a laminated instruction card.</w:t>
      </w:r>
    </w:p>
    <w:p>
      <w:pPr>
        <w:spacing w:after="120"/>
      </w:pPr>
      <w:r>
        <w:rPr>
          <w:sz w:val="22"/>
          <w:szCs w:val="22"/>
        </w:rPr>
        <w:t xml:space="preserve">A spill is dealt with by the staff of the area where it happened, immediately, and is not left for the next housekeeping round. The procedure is:</w:t>
      </w:r>
    </w:p>
    <w:p>
      <w:pPr>
        <w:spacing w:after="120"/>
      </w:pPr>
      <w:r>
        <w:rPr>
          <w:sz w:val="22"/>
          <w:szCs w:val="22"/>
        </w:rPr>
        <w:t xml:space="preserve">1. Restrict access to the area and prevent anyone from walking through the spill.
2. Perform hand hygiene and put on gloves, apron, mask and eye protection.
3. Pick up any broken glass or sharp fragment first, using a scoop, forceps or dustpan — never with the hands, even when gloved — and place it directly into the sharps container.
4. Cover the spill with absorbent material and remove the bulk of the visible organic matter. This step comes before disinfection and is not optional: chlorine-releasing disinfectants are substantially inactivated by blood and protein, so applying disinfectant on to an uncleaned spill does not reliably work.
5. Apply the chlorine-releasing disinfectant at the concentration specified in the disinfection policy of HMP Foundation and leave it for the full contact time stated by the manufacturer. As a guide to the order of magnitude involved, published guidance uses a 1:10 dilution of 5.25–6.15% household bleach — roughly 5,000–6,150 ppm available chlorine — for a large spill, and a 1:100 dilution — roughly 500–615 ppm — for small drops on a non-critical surface. Indian practice commonly specifies a 1% sodium hypochlorite solution for blood spills. The exact product, working concentration and contact time used at HMP Foundation are [Hospital to define] and are stated on the spill kit instruction card so that no one has to estimate at the time.
6. Wipe up the disinfectant with fresh absorbent material and clean the surface with detergent and water.
7. Place all contaminated absorbent material, disposable cleaning items and used PPE into the yellow biomedical waste stream. Remove PPE in the sequence given in step 12 and perform hand hygiene.
8. Record the spill and, where any person was exposed, manage that exposure under step 24 and report it as an incident.</w:t>
      </w:r>
    </w:p>
    <w:p>
      <w:pPr>
        <w:spacing w:after="120"/>
      </w:pPr>
      <w:r>
        <w:rPr>
          <w:sz w:val="22"/>
          <w:szCs w:val="22"/>
        </w:rPr>
        <w:t xml:space="preserve">Hypochlorite is not applied directly to a urine spill. Urine contains ammonia, and bleach reacting with ammonia releases chloramine gas, which is toxic on inhalation and dangerous in an enclosed space such as a bathroom or sluice room. Urine spills are absorbed and cleaned with detergent and water first, and disinfected afterwards only once the urine has been removed. Hypochlorite is corrosive to metal, so metal surfaces and equipment are decontaminated with an alternative agent named in the disinfection policy — [Hospital to define].</w:t>
      </w:r>
    </w:p>
    <w:p>
      <w:pPr>
        <w:spacing w:after="120"/>
      </w:pPr>
      <w:r>
        <w:rPr>
          <w:sz w:val="22"/>
          <w:szCs w:val="22"/>
        </w:rPr>
        <w:t xml:space="preserve">All clinical, housekeeping and support staff of HMP Foundation are trained in spill management and are able to demonstrate the procedure on request, including to an assessor.</w:t>
      </w:r>
    </w:p>
    <w:p>
      <w:pPr>
        <w:spacing w:after="90" w:before="240"/>
      </w:pPr>
      <w:r>
        <w:rPr>
          <w:b/>
          <w:bCs/>
          <w:sz w:val="23"/>
          <w:szCs w:val="23"/>
        </w:rPr>
        <w:t xml:space="preserve">26. Segregation of biomedical waste at the point of generation</w:t>
      </w:r>
    </w:p>
    <w:p>
      <w:pPr>
        <w:spacing w:after="120"/>
      </w:pPr>
      <w:r>
        <w:rPr>
          <w:sz w:val="22"/>
          <w:szCs w:val="22"/>
        </w:rPr>
        <w:t xml:space="preserve">Segregation happens at the bedside or procedure trolley at the moment the waste is produced — never later by a second person. HMP Foundation follows the four-colour system of the Bio-Medical Waste Management Rules, 2016 (India):</w:t>
      </w:r>
    </w:p>
    <w:p>
      <w:pPr>
        <w:pStyle w:val="ListParagraph"/>
        <w:numPr>
          <w:ilvl w:val="0"/>
          <w:numId w:val="1"/>
        </w:numPr>
        <w:spacing w:after="60"/>
      </w:pPr>
      <w:r>
        <w:rPr>
          <w:sz w:val="22"/>
          <w:szCs w:val="22"/>
        </w:rPr>
        <w:t xml:space="preserve">YELLOW — non-chlorinated plastic bag or container. Human and animal anatomical waste; soiled waste such as dressings, cotton, bandages and other items contaminated with blood or body fluids; expired and discarded medicines; chemical waste; discarded linen contaminated with blood or body fluids; and microbiology, biotechnology and clinical laboratory waste. Disposal: incineration, plasma pyrolysis, or deep burial where permitted.</w:t>
      </w:r>
    </w:p>
    <w:p>
      <w:pPr>
        <w:pStyle w:val="ListParagraph"/>
        <w:numPr>
          <w:ilvl w:val="0"/>
          <w:numId w:val="1"/>
        </w:numPr>
        <w:spacing w:after="60"/>
      </w:pPr>
      <w:r>
        <w:rPr>
          <w:sz w:val="22"/>
          <w:szCs w:val="22"/>
        </w:rPr>
        <w:t xml:space="preserve">RED — non-chlorinated plastic bag or container. Contaminated recyclable waste: disposable items such as tubing, bottles, intravenous tubes and sets, catheters, urine bags, syringes without needles, and gloves. Disposal: autoclaving, microwaving or hydroclaving, followed by mutilation or shredding, then recycling through a registered recycler.</w:t>
      </w:r>
    </w:p>
    <w:p>
      <w:pPr>
        <w:pStyle w:val="ListParagraph"/>
        <w:numPr>
          <w:ilvl w:val="0"/>
          <w:numId w:val="1"/>
        </w:numPr>
        <w:spacing w:after="60"/>
      </w:pPr>
      <w:r>
        <w:rPr>
          <w:sz w:val="22"/>
          <w:szCs w:val="22"/>
        </w:rPr>
        <w:t xml:space="preserve">WHITE (translucent) — puncture-proof, leak-proof, tamper-proof container. Waste sharps including metals: needles, fixed-needle syringes, scalpels, blades, and any contaminated sharp object capable of causing a puncture or cut. Disposal: autoclaving or dry-heat sterilisation followed by shredding, mutilation, or encapsulation.</w:t>
      </w:r>
    </w:p>
    <w:p>
      <w:pPr>
        <w:pStyle w:val="ListParagraph"/>
        <w:numPr>
          <w:ilvl w:val="0"/>
          <w:numId w:val="1"/>
        </w:numPr>
        <w:spacing w:after="60"/>
      </w:pPr>
      <w:r>
        <w:rPr>
          <w:sz w:val="22"/>
          <w:szCs w:val="22"/>
        </w:rPr>
        <w:t xml:space="preserve">BLUE — cardboard box with blue marking, or puncture-proof container. Glassware, including broken, discarded and contaminated glass, medicine vials and ampoules; and metallic body implants. Disposal: disinfection or autoclaving, then recycling.</w:t>
      </w:r>
    </w:p>
    <w:p>
      <w:pPr>
        <w:spacing w:after="120"/>
      </w:pPr>
      <w:r>
        <w:rPr>
          <w:sz w:val="22"/>
          <w:szCs w:val="22"/>
        </w:rPr>
        <w:t xml:space="preserve">Untreated biomedical waste is not stored at HMP Foundation beyond 48 hours. Colour-coded bins with the correct liners, foot-operated lids and category charts are placed in every clinical area. All staff who generate waste — including doctors, nurses, technicians and housekeeping — are trained in segregation, and segregation errors are audited by the ICN at a frequency of [Hospital to define]. The name of the common biomedical waste treatment facility used by HMP Foundation, the collection schedule and the authorisation details are [Hospital to define].</w:t>
      </w:r>
    </w:p>
    <w:p>
      <w:pPr>
        <w:spacing w:after="90" w:before="240"/>
      </w:pPr>
      <w:r>
        <w:rPr>
          <w:b/>
          <w:bCs/>
          <w:sz w:val="23"/>
          <w:szCs w:val="23"/>
        </w:rPr>
        <w:t xml:space="preserve">27. Antimicrobial usage policy — content, approval and availability (HIC.2.e)</w:t>
      </w:r>
    </w:p>
    <w:p>
      <w:pPr>
        <w:spacing w:after="120"/>
      </w:pPr>
      <w:r>
        <w:rPr>
          <w:sz w:val="22"/>
          <w:szCs w:val="22"/>
        </w:rPr>
        <w:t xml:space="preserve">HMP Foundation maintains a written antimicrobial usage policy, approved by the ICC together with the pharmacy and the medical committee, and issued with a version number, an effective date and a review date.</w:t>
      </w:r>
    </w:p>
    <w:p>
      <w:pPr>
        <w:pStyle w:val="ListParagraph"/>
        <w:numPr>
          <w:ilvl w:val="0"/>
          <w:numId w:val="1"/>
        </w:numPr>
        <w:spacing w:after="60"/>
      </w:pPr>
      <w:r>
        <w:rPr>
          <w:sz w:val="22"/>
          <w:szCs w:val="22"/>
        </w:rPr>
        <w:t xml:space="preserve">The policy sets out:</w:t>
      </w:r>
    </w:p>
    <w:p>
      <w:pPr>
        <w:pStyle w:val="ListParagraph"/>
        <w:numPr>
          <w:ilvl w:val="0"/>
          <w:numId w:val="1"/>
        </w:numPr>
        <w:spacing w:after="60"/>
      </w:pPr>
      <w:r>
        <w:rPr>
          <w:sz w:val="22"/>
          <w:szCs w:val="22"/>
        </w:rPr>
        <w:t xml:space="preserve">recommended empirical regimens for the common infection syndromes treated at HMP Foundation, chosen on the basis of the hospital's own antibiogram rather than on published national averages alone;</w:t>
      </w:r>
    </w:p>
    <w:p>
      <w:pPr>
        <w:pStyle w:val="ListParagraph"/>
        <w:numPr>
          <w:ilvl w:val="0"/>
          <w:numId w:val="1"/>
        </w:numPr>
        <w:spacing w:after="60"/>
      </w:pPr>
      <w:r>
        <w:rPr>
          <w:sz w:val="22"/>
          <w:szCs w:val="22"/>
        </w:rPr>
        <w:t xml:space="preserve">the list of restricted antimicrobial agents that require prior authorisation before dispensing, and who may authorise them;</w:t>
      </w:r>
    </w:p>
    <w:p>
      <w:pPr>
        <w:pStyle w:val="ListParagraph"/>
        <w:numPr>
          <w:ilvl w:val="0"/>
          <w:numId w:val="1"/>
        </w:numPr>
        <w:spacing w:after="60"/>
      </w:pPr>
      <w:r>
        <w:rPr>
          <w:sz w:val="22"/>
          <w:szCs w:val="22"/>
        </w:rPr>
        <w:t xml:space="preserve">criteria and timing for de-escalation from broad-spectrum to narrow-spectrum therapy once culture and sensitivity results are available;</w:t>
      </w:r>
    </w:p>
    <w:p>
      <w:pPr>
        <w:pStyle w:val="ListParagraph"/>
        <w:numPr>
          <w:ilvl w:val="0"/>
          <w:numId w:val="1"/>
        </w:numPr>
        <w:spacing w:after="60"/>
      </w:pPr>
      <w:r>
        <w:rPr>
          <w:sz w:val="22"/>
          <w:szCs w:val="22"/>
        </w:rPr>
        <w:t xml:space="preserve">criteria for switching from intravenous to oral therapy;</w:t>
      </w:r>
    </w:p>
    <w:p>
      <w:pPr>
        <w:pStyle w:val="ListParagraph"/>
        <w:numPr>
          <w:ilvl w:val="0"/>
          <w:numId w:val="1"/>
        </w:numPr>
        <w:spacing w:after="60"/>
      </w:pPr>
      <w:r>
        <w:rPr>
          <w:sz w:val="22"/>
          <w:szCs w:val="22"/>
        </w:rPr>
        <w:t xml:space="preserve">expected duration of therapy for common indications, and a rule that an end date or review date is recorded with every antimicrobial order;</w:t>
      </w:r>
    </w:p>
    <w:p>
      <w:pPr>
        <w:pStyle w:val="ListParagraph"/>
        <w:numPr>
          <w:ilvl w:val="0"/>
          <w:numId w:val="1"/>
        </w:numPr>
        <w:spacing w:after="60"/>
      </w:pPr>
      <w:r>
        <w:rPr>
          <w:sz w:val="22"/>
          <w:szCs w:val="22"/>
        </w:rPr>
        <w:t xml:space="preserve">surgical antimicrobial prophylaxis — agent, dose, timing before incision, intra-operative re-dosing, and the maximum duration after surgery;</w:t>
      </w:r>
    </w:p>
    <w:p>
      <w:pPr>
        <w:pStyle w:val="ListParagraph"/>
        <w:numPr>
          <w:ilvl w:val="0"/>
          <w:numId w:val="1"/>
        </w:numPr>
        <w:spacing w:after="60"/>
      </w:pPr>
      <w:r>
        <w:rPr>
          <w:sz w:val="22"/>
          <w:szCs w:val="22"/>
        </w:rPr>
        <w:t xml:space="preserve">dose adjustment in renal and hepatic impairment; and</w:t>
      </w:r>
    </w:p>
    <w:p>
      <w:pPr>
        <w:pStyle w:val="ListParagraph"/>
        <w:numPr>
          <w:ilvl w:val="0"/>
          <w:numId w:val="1"/>
        </w:numPr>
        <w:spacing w:after="60"/>
      </w:pPr>
      <w:r>
        <w:rPr>
          <w:sz w:val="22"/>
          <w:szCs w:val="22"/>
        </w:rPr>
        <w:t xml:space="preserve">the requirement to send appropriate cultures before starting antimicrobial therapy wherever the clinical situation allows.</w:t>
      </w:r>
    </w:p>
    <w:p>
      <w:pPr>
        <w:spacing w:after="120"/>
      </w:pPr>
      <w:r>
        <w:rPr>
          <w:sz w:val="22"/>
          <w:szCs w:val="22"/>
        </w:rPr>
        <w:t xml:space="preserve">HMP Foundation may adopt the WHO AWaRe classification (Access, Watch, Reserve) to structure this list and to set targets for the proportion of use drawn from the Access group. A current copy of the policy is available in every clinical area as a printed quick-reference or on the hospital system, and every prescriber acknowledges it in writing at induction. The list of restricted agents is displayed in each ward and in the pharmacy.</w:t>
      </w:r>
    </w:p>
    <w:p>
      <w:pPr>
        <w:spacing w:after="90" w:before="240"/>
      </w:pPr>
      <w:r>
        <w:rPr>
          <w:b/>
          <w:bCs/>
          <w:sz w:val="23"/>
          <w:szCs w:val="23"/>
        </w:rPr>
        <w:t xml:space="preserve">28. Implementing the antimicrobial usage policy and monitoring rational use (HIC.2.e, HIC.2.f)</w:t>
      </w:r>
    </w:p>
    <w:p>
      <w:pPr>
        <w:spacing w:after="120"/>
      </w:pPr>
      <w:r>
        <w:rPr>
          <w:sz w:val="22"/>
          <w:szCs w:val="22"/>
        </w:rPr>
        <w:t xml:space="preserve">The policy is enforced at the point of dispensing and reviewed after the fact.</w:t>
      </w:r>
    </w:p>
    <w:p>
      <w:pPr>
        <w:pStyle w:val="ListParagraph"/>
        <w:numPr>
          <w:ilvl w:val="0"/>
          <w:numId w:val="1"/>
        </w:numPr>
        <w:spacing w:after="60"/>
      </w:pPr>
      <w:r>
        <w:rPr>
          <w:sz w:val="22"/>
          <w:szCs w:val="22"/>
        </w:rPr>
        <w:t xml:space="preserve">Every antimicrobial order records the indication, the dose, the route and either a stop date or a review date. Orders without these are queried by the ward pharmacist before dispensing.</w:t>
      </w:r>
    </w:p>
    <w:p>
      <w:pPr>
        <w:pStyle w:val="ListParagraph"/>
        <w:numPr>
          <w:ilvl w:val="0"/>
          <w:numId w:val="1"/>
        </w:numPr>
        <w:spacing w:after="60"/>
      </w:pPr>
      <w:r>
        <w:rPr>
          <w:sz w:val="22"/>
          <w:szCs w:val="22"/>
        </w:rPr>
        <w:t xml:space="preserve">Restricted agents are dispensed only against a recorded authorisation. HMP Foundation maintains a restricted antimicrobial approval register capturing the prescriber, the patient identifier, the agent, the indication, the authorising person and the date.</w:t>
      </w:r>
    </w:p>
    <w:p>
      <w:pPr>
        <w:pStyle w:val="ListParagraph"/>
        <w:numPr>
          <w:ilvl w:val="0"/>
          <w:numId w:val="1"/>
        </w:numPr>
        <w:spacing w:after="60"/>
      </w:pPr>
      <w:r>
        <w:rPr>
          <w:sz w:val="22"/>
          <w:szCs w:val="22"/>
        </w:rPr>
        <w:t xml:space="preserve">The pharmacy produces a consumption report by ward and by drug class at a frequency of [Hospital to define], expressed in defined daily doses (DDD) per 100 bed-days using the WHO ATC/DDD methodology so that figures are comparable between wards and over time.</w:t>
      </w:r>
    </w:p>
    <w:p>
      <w:pPr>
        <w:pStyle w:val="ListParagraph"/>
        <w:numPr>
          <w:ilvl w:val="0"/>
          <w:numId w:val="1"/>
        </w:numPr>
        <w:spacing w:after="60"/>
      </w:pPr>
      <w:r>
        <w:rPr>
          <w:sz w:val="22"/>
          <w:szCs w:val="22"/>
        </w:rPr>
        <w:t xml:space="preserve">Prescription audits are conducted on a random sample of inpatient case records per clinical area, at a sample size and frequency of [Hospital to define], assessing whether the choice of agent, the dose, the route and the duration matched the policy and whether cultures were sent before therapy started. Findings are recorded in an audit register and given to the individual prescriber as feedback within [Hospital to define].</w:t>
      </w:r>
    </w:p>
    <w:p>
      <w:pPr>
        <w:pStyle w:val="ListParagraph"/>
        <w:numPr>
          <w:ilvl w:val="0"/>
          <w:numId w:val="1"/>
        </w:numPr>
        <w:spacing w:after="60"/>
      </w:pPr>
      <w:r>
        <w:rPr>
          <w:sz w:val="22"/>
          <w:szCs w:val="22"/>
        </w:rPr>
        <w:t xml:space="preserve">The microbiology laboratory of HMP Foundation produces a cumulative antibiogram at least annually. The ICC reviews it and revises the empirical regimens in the policy where local resistance patterns have shifted; the revision is recorded with a new version number and effective date.</w:t>
      </w:r>
    </w:p>
    <w:p>
      <w:pPr>
        <w:pStyle w:val="ListParagraph"/>
        <w:numPr>
          <w:ilvl w:val="0"/>
          <w:numId w:val="1"/>
        </w:numPr>
        <w:spacing w:after="60"/>
      </w:pPr>
      <w:r>
        <w:rPr>
          <w:sz w:val="22"/>
          <w:szCs w:val="22"/>
        </w:rPr>
        <w:t xml:space="preserve">Consumption trends, audit findings, resistance patterns and the outcome of corrective actions are tabled at every ICC meeting and minuted.</w:t>
      </w:r>
    </w:p>
    <w:p>
      <w:pPr>
        <w:spacing w:after="90" w:before="240"/>
      </w:pPr>
      <w:r>
        <w:rPr>
          <w:b/>
          <w:bCs/>
          <w:sz w:val="23"/>
          <w:szCs w:val="23"/>
        </w:rPr>
        <w:t xml:space="preserve">29. Antibiotic stewardship programme (HIC.2.g)</w:t>
      </w:r>
    </w:p>
    <w:p>
      <w:pPr>
        <w:spacing w:after="120"/>
      </w:pPr>
      <w:r>
        <w:rPr>
          <w:sz w:val="22"/>
          <w:szCs w:val="22"/>
        </w:rPr>
        <w:t xml:space="preserve">Note on status: the requirement for a stewardship programme sits at Excellence level within this standard and is above the baseline expected of every organisation. It calls for a functioning programme; it does not by itself require a standing committee. HMP Foundation nevertheless constitutes an Antimicrobial Stewardship Team (AST) as the practical means of running and evidencing the programme.</w:t>
      </w:r>
    </w:p>
    <w:p>
      <w:pPr>
        <w:spacing w:after="120"/>
      </w:pPr>
      <w:r>
        <w:rPr>
          <w:sz w:val="22"/>
          <w:szCs w:val="22"/>
        </w:rPr>
        <w:t xml:space="preserve">The programme at HMP Foundation is built on the recognised core elements of hospital antibiotic stewardship — leadership commitment, accountability, pharmacy expertise, action, tracking, reporting and education:</w:t>
      </w:r>
    </w:p>
    <w:p>
      <w:pPr>
        <w:pStyle w:val="ListParagraph"/>
        <w:numPr>
          <w:ilvl w:val="0"/>
          <w:numId w:val="1"/>
        </w:numPr>
        <w:spacing w:after="60"/>
      </w:pPr>
      <w:r>
        <w:rPr>
          <w:sz w:val="22"/>
          <w:szCs w:val="22"/>
        </w:rPr>
        <w:t xml:space="preserve">Leadership commitment — senior management of HMP Foundation formally commits the necessary staff time, information technology and budget, in writing.</w:t>
      </w:r>
    </w:p>
    <w:p>
      <w:pPr>
        <w:pStyle w:val="ListParagraph"/>
        <w:numPr>
          <w:ilvl w:val="0"/>
          <w:numId w:val="1"/>
        </w:numPr>
        <w:spacing w:after="60"/>
      </w:pPr>
      <w:r>
        <w:rPr>
          <w:sz w:val="22"/>
          <w:szCs w:val="22"/>
        </w:rPr>
        <w:t xml:space="preserve">Accountability — a single named leader is accountable for the programme's outcomes. The AST membership, its lead, its meeting frequency and its quorum are [Hospital to define]; the team is typically led by a physician with infectious disease or microbiology expertise and includes a clinical pharmacist and the ICN.</w:t>
      </w:r>
    </w:p>
    <w:p>
      <w:pPr>
        <w:pStyle w:val="ListParagraph"/>
        <w:numPr>
          <w:ilvl w:val="0"/>
          <w:numId w:val="1"/>
        </w:numPr>
        <w:spacing w:after="60"/>
      </w:pPr>
      <w:r>
        <w:rPr>
          <w:sz w:val="22"/>
          <w:szCs w:val="22"/>
        </w:rPr>
        <w:t xml:space="preserve">Pharmacy expertise — a named pharmacist co-leads improvement in antimicrobial use.</w:t>
      </w:r>
    </w:p>
    <w:p>
      <w:pPr>
        <w:pStyle w:val="ListParagraph"/>
        <w:numPr>
          <w:ilvl w:val="0"/>
          <w:numId w:val="1"/>
        </w:numPr>
        <w:spacing w:after="60"/>
      </w:pPr>
      <w:r>
        <w:rPr>
          <w:sz w:val="22"/>
          <w:szCs w:val="22"/>
        </w:rPr>
        <w:t xml:space="preserve">Action — the programme runs at least one intervention with a documented method. Prospective audit and feedback is the recommended approach: the AST reviews every patient still receiving antimicrobial therapy beyond 72 hours, and issues written recommendations to the prescriber that are filed in the record. A formal antibiotic time-out at 48 to 72 hours, at which therapy is reassessed against culture results, is documented for every patient on antimicrobials.</w:t>
      </w:r>
    </w:p>
    <w:p>
      <w:pPr>
        <w:pStyle w:val="ListParagraph"/>
        <w:numPr>
          <w:ilvl w:val="0"/>
          <w:numId w:val="1"/>
        </w:numPr>
        <w:spacing w:after="60"/>
      </w:pPr>
      <w:r>
        <w:rPr>
          <w:sz w:val="22"/>
          <w:szCs w:val="22"/>
        </w:rPr>
        <w:t xml:space="preserve">Tracking — the AST tracks process measures (adherence to the policy, documentation of indication and duration, time-out completion) and outcome measures (DDD per 100 bed-days, restricted agent use, rates of Clostridioides difficile infection and of resistant organisms, and culture positivity).</w:t>
      </w:r>
    </w:p>
    <w:p>
      <w:pPr>
        <w:pStyle w:val="ListParagraph"/>
        <w:numPr>
          <w:ilvl w:val="0"/>
          <w:numId w:val="1"/>
        </w:numPr>
        <w:spacing w:after="60"/>
      </w:pPr>
      <w:r>
        <w:rPr>
          <w:sz w:val="22"/>
          <w:szCs w:val="22"/>
        </w:rPr>
        <w:t xml:space="preserve">Reporting — trend data is reported to prescribers and to hospital leadership at a frequency of [Hospital to define], at least quarterly.</w:t>
      </w:r>
    </w:p>
    <w:p>
      <w:pPr>
        <w:pStyle w:val="ListParagraph"/>
        <w:numPr>
          <w:ilvl w:val="0"/>
          <w:numId w:val="1"/>
        </w:numPr>
        <w:spacing w:after="60"/>
      </w:pPr>
      <w:r>
        <w:rPr>
          <w:sz w:val="22"/>
          <w:szCs w:val="22"/>
        </w:rPr>
        <w:t xml:space="preserve">Education — prescribers, nurses and pharmacists receive education on resistance and on optimal prescribing, with attendance recorded.</w:t>
      </w:r>
    </w:p>
    <w:p>
      <w:pPr>
        <w:spacing w:after="120"/>
      </w:pPr>
      <w:r>
        <w:rPr>
          <w:sz w:val="22"/>
          <w:szCs w:val="22"/>
        </w:rPr>
        <w:t xml:space="preserve">The AST has a written charter stating its purpose, membership, authority and measurable goals — for example a reduction in days of therapy or in the use of a named restricted agent. Baseline values and targets are [Hospital to define].</w:t>
      </w:r>
    </w:p>
    <w:p>
      <w:pPr>
        <w:spacing w:after="90" w:before="240"/>
      </w:pPr>
      <w:r>
        <w:rPr>
          <w:b/>
          <w:bCs/>
          <w:sz w:val="23"/>
          <w:szCs w:val="23"/>
        </w:rPr>
        <w:t xml:space="preserve">30. Surveillance of healthcare-associated infections — interface with this policy</w:t>
      </w:r>
    </w:p>
    <w:p>
      <w:pPr>
        <w:spacing w:after="120"/>
      </w:pPr>
      <w:r>
        <w:rPr>
          <w:sz w:val="22"/>
          <w:szCs w:val="22"/>
        </w:rPr>
        <w:t xml:space="preserve">HMP Foundation conducts surveillance for healthcare-associated infection, because the practices set out in this policy can only be shown to work by measuring their result. Surveillance covers, as a minimum, ventilator-associated pneumonia or ventilator-associated events, central line-associated bloodstream infection, catheter-associated urinary tract infection, and surgical site infection.</w:t>
      </w:r>
    </w:p>
    <w:p>
      <w:pPr>
        <w:spacing w:after="120"/>
      </w:pPr>
      <w:r>
        <w:rPr>
          <w:sz w:val="22"/>
          <w:szCs w:val="22"/>
        </w:rPr>
        <w:t xml:space="preserve">Surveillance uses standard, published case definitions applied consistently, rather than definitions devised locally, so that rates mean the same thing from month to month and can be compared externally. The definitions and methods published in the Patient Safety Component Manual of the CDC's National Healthcare Safety Network (NHSN) are a recognised source for this purpose. Rates are expressed against the appropriate denominator — device-days for device-associated infection, and procedures for surgical site infection — and not against admissions or bed-days.</w:t>
      </w:r>
    </w:p>
    <w:p>
      <w:pPr>
        <w:spacing w:after="120"/>
      </w:pPr>
      <w:r>
        <w:rPr>
          <w:sz w:val="22"/>
          <w:szCs w:val="22"/>
        </w:rPr>
        <w:t xml:space="preserve">Surveillance findings are reported to the ICC and to the clinical areas concerned, and are used to direct the corrective actions required elsewhere in this policy: a rise in device-associated infection triggers re-audit of the relevant bundle under step 22, and a rise in resistant organisms is taken to the AST under step 29.</w:t>
      </w:r>
    </w:p>
    <w:p>
      <w:pPr>
        <w:spacing w:after="120"/>
      </w:pPr>
      <w:r>
        <w:rPr>
          <w:sz w:val="22"/>
          <w:szCs w:val="22"/>
        </w:rPr>
        <w:t xml:space="preserve">The full surveillance methodology of HMP Foundation — case definitions in use, data collection responsibility, denominators, rate calculation, reporting frequency, benchmarks and validation — is set out in the organisation's infection prevention and control programme document and its quality indicator framework, not in this policy. Those details are [Hospital to define].</w:t>
      </w:r>
    </w:p>
    <w:p>
      <w:pPr>
        <w:spacing w:after="90" w:before="240"/>
      </w:pPr>
      <w:r>
        <w:rPr>
          <w:b/>
          <w:bCs/>
          <w:sz w:val="23"/>
          <w:szCs w:val="23"/>
        </w:rPr>
        <w:t xml:space="preserve">31. Training, orientation and competency</w:t>
      </w:r>
    </w:p>
    <w:p>
      <w:pPr>
        <w:spacing w:after="120"/>
      </w:pPr>
      <w:r>
        <w:rPr>
          <w:sz w:val="22"/>
          <w:szCs w:val="22"/>
        </w:rPr>
        <w:t xml:space="preserve">Every new employee of HMP Foundation — clinical, support, housekeeping, dietary, security, and contracted or outsourced personnel — receives infection control training during induction, before independent patient contact. Content covers standard precautions, hand hygiene moments and technique, PPE selection and the donning and doffing sequences, transmission-based precautions, safe injection practice, sharps handling, exposure reporting and post-exposure prophylaxis, blood and body fluid spill management, staff immunisation entitlements, and biomedical waste segregation.</w:t>
      </w:r>
    </w:p>
    <w:p>
      <w:pPr>
        <w:spacing w:after="120"/>
      </w:pPr>
      <w:r>
        <w:rPr>
          <w:sz w:val="22"/>
          <w:szCs w:val="22"/>
        </w:rPr>
        <w:t xml:space="preserve">Refresher training is repeated at a frequency of [Hospital to define], and after any change to this policy. Training is assessed by return demonstration, not attendance alone: staff physically demonstrate hand hygiene technique, the doffing sequence and the spill management procedure to an assessor, and the result is recorded against the individual's name with the date and the assessor's signature. Staff who do not pass are retrained and reassessed before resuming independent practice.</w:t>
      </w:r>
    </w:p>
    <w:p>
      <w:pPr>
        <w:spacing w:after="120"/>
      </w:pPr>
      <w:r>
        <w:rPr>
          <w:sz w:val="22"/>
          <w:szCs w:val="22"/>
        </w:rPr>
        <w:t xml:space="preserve">Attendance registers, assessment records and competency scores are retained by HMP Foundation and are available for review.</w:t>
      </w:r>
    </w:p>
    <w:p>
      <w:pPr>
        <w:spacing w:after="90" w:before="240"/>
      </w:pPr>
      <w:r>
        <w:rPr>
          <w:b/>
          <w:bCs/>
          <w:sz w:val="23"/>
          <w:szCs w:val="23"/>
        </w:rPr>
        <w:t xml:space="preserve">32. Records maintained under this policy</w:t>
      </w:r>
    </w:p>
    <w:p>
      <w:pPr>
        <w:pStyle w:val="ListParagraph"/>
        <w:numPr>
          <w:ilvl w:val="0"/>
          <w:numId w:val="1"/>
        </w:numPr>
        <w:spacing w:after="60"/>
      </w:pPr>
      <w:r>
        <w:rPr>
          <w:sz w:val="22"/>
          <w:szCs w:val="22"/>
        </w:rPr>
        <w:t xml:space="preserve">HMP Foundation maintains, and retains for the period defined in its records retention policy — [Hospital to define]:</w:t>
      </w:r>
    </w:p>
    <w:p>
      <w:pPr>
        <w:pStyle w:val="ListParagraph"/>
        <w:numPr>
          <w:ilvl w:val="0"/>
          <w:numId w:val="1"/>
        </w:numPr>
        <w:spacing w:after="60"/>
      </w:pPr>
      <w:r>
        <w:rPr>
          <w:sz w:val="22"/>
          <w:szCs w:val="22"/>
        </w:rPr>
        <w:t xml:space="preserve">hand hygiene compliance observation sheets and calculated compliance rates by area and staff category;</w:t>
      </w:r>
    </w:p>
    <w:p>
      <w:pPr>
        <w:pStyle w:val="ListParagraph"/>
        <w:numPr>
          <w:ilvl w:val="0"/>
          <w:numId w:val="1"/>
        </w:numPr>
        <w:spacing w:after="60"/>
      </w:pPr>
      <w:r>
        <w:rPr>
          <w:sz w:val="22"/>
          <w:szCs w:val="22"/>
        </w:rPr>
        <w:t xml:space="preserve">handrub and soap dispenser check and refill logs;</w:t>
      </w:r>
    </w:p>
    <w:p>
      <w:pPr>
        <w:pStyle w:val="ListParagraph"/>
        <w:numPr>
          <w:ilvl w:val="0"/>
          <w:numId w:val="1"/>
        </w:numPr>
        <w:spacing w:after="60"/>
      </w:pPr>
      <w:r>
        <w:rPr>
          <w:sz w:val="22"/>
          <w:szCs w:val="22"/>
        </w:rPr>
        <w:t xml:space="preserve">standard precautions spot-check and audit records for each clinical area;</w:t>
      </w:r>
    </w:p>
    <w:p>
      <w:pPr>
        <w:pStyle w:val="ListParagraph"/>
        <w:numPr>
          <w:ilvl w:val="0"/>
          <w:numId w:val="1"/>
        </w:numPr>
        <w:spacing w:after="60"/>
      </w:pPr>
      <w:r>
        <w:rPr>
          <w:sz w:val="22"/>
          <w:szCs w:val="22"/>
        </w:rPr>
        <w:t xml:space="preserve">the transmission-based precaution assignment register, including start and discontinuation dates and authorising person;</w:t>
      </w:r>
    </w:p>
    <w:p>
      <w:pPr>
        <w:pStyle w:val="ListParagraph"/>
        <w:numPr>
          <w:ilvl w:val="0"/>
          <w:numId w:val="1"/>
        </w:numPr>
        <w:spacing w:after="60"/>
      </w:pPr>
      <w:r>
        <w:rPr>
          <w:sz w:val="22"/>
          <w:szCs w:val="22"/>
        </w:rPr>
        <w:t xml:space="preserve">terminal cleaning records for isolation rooms;</w:t>
      </w:r>
    </w:p>
    <w:p>
      <w:pPr>
        <w:pStyle w:val="ListParagraph"/>
        <w:numPr>
          <w:ilvl w:val="0"/>
          <w:numId w:val="1"/>
        </w:numPr>
        <w:spacing w:after="60"/>
      </w:pPr>
      <w:r>
        <w:rPr>
          <w:sz w:val="22"/>
          <w:szCs w:val="22"/>
        </w:rPr>
        <w:t xml:space="preserve">intravascular device insertion and maintenance bundle audit checklists;</w:t>
      </w:r>
    </w:p>
    <w:p>
      <w:pPr>
        <w:pStyle w:val="ListParagraph"/>
        <w:numPr>
          <w:ilvl w:val="0"/>
          <w:numId w:val="1"/>
        </w:numPr>
        <w:spacing w:after="60"/>
      </w:pPr>
      <w:r>
        <w:rPr>
          <w:sz w:val="22"/>
          <w:szCs w:val="22"/>
        </w:rPr>
        <w:t xml:space="preserve">staff immunisation records, including hepatitis B vaccination dates, anti-HBs results, revaccination where applicable, and signed declination forms;</w:t>
      </w:r>
    </w:p>
    <w:p>
      <w:pPr>
        <w:pStyle w:val="ListParagraph"/>
        <w:numPr>
          <w:ilvl w:val="0"/>
          <w:numId w:val="1"/>
        </w:numPr>
        <w:spacing w:after="60"/>
      </w:pPr>
      <w:r>
        <w:rPr>
          <w:sz w:val="22"/>
          <w:szCs w:val="22"/>
        </w:rPr>
        <w:t xml:space="preserve">the sharps and needlestick injury register, with source testing, investigation and post-exposure prophylaxis records;</w:t>
      </w:r>
    </w:p>
    <w:p>
      <w:pPr>
        <w:pStyle w:val="ListParagraph"/>
        <w:numPr>
          <w:ilvl w:val="0"/>
          <w:numId w:val="1"/>
        </w:numPr>
        <w:spacing w:after="60"/>
      </w:pPr>
      <w:r>
        <w:rPr>
          <w:sz w:val="22"/>
          <w:szCs w:val="22"/>
        </w:rPr>
        <w:t xml:space="preserve">blood and body fluid spill incident records and spill kit replenishment logs;</w:t>
      </w:r>
    </w:p>
    <w:p>
      <w:pPr>
        <w:pStyle w:val="ListParagraph"/>
        <w:numPr>
          <w:ilvl w:val="0"/>
          <w:numId w:val="1"/>
        </w:numPr>
        <w:spacing w:after="60"/>
      </w:pPr>
      <w:r>
        <w:rPr>
          <w:sz w:val="22"/>
          <w:szCs w:val="22"/>
        </w:rPr>
        <w:t xml:space="preserve">healthcare-associated infection surveillance data and the rates derived from it;</w:t>
      </w:r>
    </w:p>
    <w:p>
      <w:pPr>
        <w:pStyle w:val="ListParagraph"/>
        <w:numPr>
          <w:ilvl w:val="0"/>
          <w:numId w:val="1"/>
        </w:numPr>
        <w:spacing w:after="60"/>
      </w:pPr>
      <w:r>
        <w:rPr>
          <w:sz w:val="22"/>
          <w:szCs w:val="22"/>
        </w:rPr>
        <w:t xml:space="preserve">biomedical waste segregation audit records, daily waste quantity records, and handover documents to the treatment facility;</w:t>
      </w:r>
    </w:p>
    <w:p>
      <w:pPr>
        <w:pStyle w:val="ListParagraph"/>
        <w:numPr>
          <w:ilvl w:val="0"/>
          <w:numId w:val="1"/>
        </w:numPr>
        <w:spacing w:after="60"/>
      </w:pPr>
      <w:r>
        <w:rPr>
          <w:sz w:val="22"/>
          <w:szCs w:val="22"/>
        </w:rPr>
        <w:t xml:space="preserve">the restricted antimicrobial approval register;</w:t>
      </w:r>
    </w:p>
    <w:p>
      <w:pPr>
        <w:pStyle w:val="ListParagraph"/>
        <w:numPr>
          <w:ilvl w:val="0"/>
          <w:numId w:val="1"/>
        </w:numPr>
        <w:spacing w:after="60"/>
      </w:pPr>
      <w:r>
        <w:rPr>
          <w:sz w:val="22"/>
          <w:szCs w:val="22"/>
        </w:rPr>
        <w:t xml:space="preserve">antimicrobial consumption reports and prescription audit registers;</w:t>
      </w:r>
    </w:p>
    <w:p>
      <w:pPr>
        <w:pStyle w:val="ListParagraph"/>
        <w:numPr>
          <w:ilvl w:val="0"/>
          <w:numId w:val="1"/>
        </w:numPr>
        <w:spacing w:after="60"/>
      </w:pPr>
      <w:r>
        <w:rPr>
          <w:sz w:val="22"/>
          <w:szCs w:val="22"/>
        </w:rPr>
        <w:t xml:space="preserve">the cumulative antibiogram and evidence of its review;</w:t>
      </w:r>
    </w:p>
    <w:p>
      <w:pPr>
        <w:pStyle w:val="ListParagraph"/>
        <w:numPr>
          <w:ilvl w:val="0"/>
          <w:numId w:val="1"/>
        </w:numPr>
        <w:spacing w:after="60"/>
      </w:pPr>
      <w:r>
        <w:rPr>
          <w:sz w:val="22"/>
          <w:szCs w:val="22"/>
        </w:rPr>
        <w:t xml:space="preserve">AST charter, meeting records, prospective audit and feedback recommendations, and outcome metric trends;</w:t>
      </w:r>
    </w:p>
    <w:p>
      <w:pPr>
        <w:pStyle w:val="ListParagraph"/>
        <w:numPr>
          <w:ilvl w:val="0"/>
          <w:numId w:val="1"/>
        </w:numPr>
        <w:spacing w:after="60"/>
      </w:pPr>
      <w:r>
        <w:rPr>
          <w:sz w:val="22"/>
          <w:szCs w:val="22"/>
        </w:rPr>
        <w:t xml:space="preserve">ICC meeting minutes recording findings, named corrective actions, owners, due dates and verification of closure; and</w:t>
      </w:r>
    </w:p>
    <w:p>
      <w:pPr>
        <w:pStyle w:val="ListParagraph"/>
        <w:numPr>
          <w:ilvl w:val="0"/>
          <w:numId w:val="1"/>
        </w:numPr>
        <w:spacing w:after="60"/>
      </w:pPr>
      <w:r>
        <w:rPr>
          <w:sz w:val="22"/>
          <w:szCs w:val="22"/>
        </w:rPr>
        <w:t xml:space="preserve">training attendance registers and competency assessment records.</w:t>
      </w:r>
    </w:p>
    <w:p>
      <w:pPr>
        <w:spacing w:after="90" w:before="240"/>
      </w:pPr>
      <w:r>
        <w:rPr>
          <w:b/>
          <w:bCs/>
          <w:sz w:val="23"/>
          <w:szCs w:val="23"/>
        </w:rPr>
        <w:t xml:space="preserve">33. Review of this policy</w:t>
      </w:r>
    </w:p>
    <w:p>
      <w:pPr>
        <w:spacing w:after="120"/>
      </w:pPr>
      <w:r>
        <w:rPr>
          <w:sz w:val="22"/>
          <w:szCs w:val="22"/>
        </w:rPr>
        <w:t xml:space="preserve">This policy is reviewed at least once every year by the ICC of HMP Foundation, and earlier if there is a change in national regulation or in recognised international guidance, a significant infection control incident or outbreak, a material shift in the hospital's antibiogram, or the introduction of a new clinical service. Each review is minuted with the names of those present, and any revision is issued with an incremented version number, a new effective date, and withdrawal of superseded copies from clinical areas. The document owner, approving authority and controlled-copy distribution list are [Hospital to define].</w:t>
      </w:r>
    </w:p>
    <w:p>
      <w:pPr>
        <w:pStyle w:val="Heading1"/>
        <w:spacing w:after="150" w:before="300"/>
      </w:pPr>
      <w:r>
        <w:t xml:space="preserve">5. Responsibility</w:t>
      </w:r>
    </w:p>
    <w:p>
      <w:pPr>
        <w:spacing w:after="150"/>
      </w:pPr>
      <w:r>
        <w:rPr>
          <w:sz w:val="22"/>
          <w:szCs w:val="22"/>
        </w:rPr>
        <w:t xml:space="preserve">Hospital leadership of HMP Foundation — provides the budget, staffing, facilities and infrastructure the programme requires, including hand hygiene consumables and hands-free taps, PPE, safety-engineered sharps devices, spill kits, staff vaccination, isolation capability and waste handling arrangements; formally commits support for antimicrobial stewardship in writing; and reviews programme performance data.
Infection Control Committee (ICC) — approves this policy and the antimicrobial usage policy; reviews compliance audits, healthcare-associated infection surveillance data, sharps injuries and spill incidents, waste segregation findings, antimicrobial consumption and resistance trends; records named corrective actions with owners and due dates; and verifies closure of those actions at the following meeting.
Infection Control Nurse / designated infection control officer — runs the programme day to day; conducts and documents hand hygiene, standard precautions, PPE, bundle and waste segregation audits; confirms or modifies transmission-based precaution categories and maintains the precaution register; investigates sharps injuries, exposures, spills and breaches; compiles surveillance data; delivers training; and reports to the ICC.
Occupational health / designated staff health officer — maintains the immunisation record for every member of staff and contracted worker; arranges hepatitis B vaccination and post-vaccination anti-HBs testing and records the results; holds signed declination forms; manages occupational exposures including source assessment, prophylaxis within the required time window and follow-up testing; and assesses fitness for duty of staff with transmissible illness or hand dermatitis.
Head of each clinical department / nursing in-charge — is accountable for compliance within their own area; ensures staff are trained and competent before independent practice; ensures a stocked spill kit is available and accessible; addresses audit findings for their area; and keeps infection control as a standing item in departmental meetings.
Treating doctors and prescribers — apply standard and transmission-based precautions personally; prescribe within the antimicrobial usage policy; record indication, dose, route and stop or review date with every antimicrobial order; send cultures before starting therapy where clinically feasible; de-escalate on receipt of results; and participate in the antibiotic time-out.
Nursing staff — perform hand hygiene at the five moments; select, don and doff PPE correctly; maintain aseptic technique for all injections, infusions and device care; segregate waste and dispose of sharps at the point of use; contain and decontaminate spills occurring in their area; maintain the precaution register and precaution signage; and inspect and document intravascular device sites each shift.
Pharmacy / ward pharmacist — maintains the antimicrobial formulary and the restricted agent list; queries antimicrobial orders lacking an indication or stop date before dispensing; maintains the restricted antimicrobial approval register; produces consumption reports in DDD per 100 bed-days; and provides pharmacy expertise to the stewardship team.
Microbiology laboratory — processes cultures, reports sensitivities promptly, produces and circulates the cumulative antibiogram at least annually, supports surveillance case-finding, and alerts the ICN to organisms of infection control significance.
Antimicrobial Stewardship Team (AST), where constituted — runs prospective audit and feedback, issues and files written recommendations to prescribers, tracks process and outcome metrics, and reports trends to prescribers and leadership. Membership, lead, meeting frequency and quorum are [Hospital to define].
Housekeeping and sanitation staff — carry out routine, enhanced and terminal cleaning and disinfection to the specified method and contact time; assist with spill decontamination under the direction of the area in-charge; check and refill hand hygiene dispensers each shift and log the check; and collect, transport and hand over segregated biomedical waste without re-sorting it.
Maintenance and engineering — installs and maintains hands-free taps, handwash basins, AIIR ventilation and pressure monitoring, and rectifies dispenser and plumbing faults reported through the dispenser check log.
Central sterile supply / equipment care — reprocesses reusable instruments and equipment to validated parameters and maintains the associated records.
Human resources and training — ensures every new joiner, including contracted and outsourced personnel, receives infection control induction and is offered the applicable vaccinations before independent patient contact, and maintains attendance and competency records.
Every individual working in or entering a clinical area — complies with this policy, reports breaches, sharps injuries, exposures, spills and near misses, and is empowered to stop an unsafe practice regardless of the seniority of the person involved.</w:t>
      </w:r>
    </w:p>
    <w:p>
      <w:pPr>
        <w:pStyle w:val="Heading1"/>
        <w:spacing w:after="150" w:before="300"/>
      </w:pPr>
      <w:r>
        <w:t xml:space="preserve">6. References</w:t>
      </w:r>
    </w:p>
    <w:p>
      <w:pPr>
        <w:spacing w:after="150"/>
      </w:pPr>
      <w:r>
        <w:rPr>
          <w:sz w:val="22"/>
          <w:szCs w:val="22"/>
        </w:rPr>
        <w:t xml:space="preserve">External sources used to verify the universal technical content of this document:
1. World Health Organization — WHO Guidelines on Hand Hygiene in Health Care (First Global Patient Safety Challenge: Clean Care is Safer Care).
2. World Health Organization — "Your 5 Moments for Hand Hygiene" poster and the WHO hand hygiene observation method / observation form.
3. World Health Organization — "How to Handrub? With alcohol-based formulation" technique poster (20-30 seconds).
4. World Health Organization — "How to Handwash? With soap and water" technique poster (40-60 seconds).
5. Centers for Disease Control and Prevention — Standard Precautions for All Patient Care, and STRIVE module "The Basics of Standard Precautions".
6. Centers for Disease Control and Prevention — Guideline for Isolation Precautions: Precautions to Prevent Transmission of Infectious Agents in Healthcare Settings (contact, droplet and airborne precautions; airborne infection isolation room requirements).
7. Centers for Disease Control and Prevention — "Sequence for Donning and Doffing Personal Protective Equipment".
8. Centers for Disease Control and Prevention — Environmental Infection Control Guidelines, section on air (ventilation and air-change requirements for airborne infection isolation rooms).
9. Centers for Disease Control and Prevention / Safe Injection Practices Coalition — Safe Injection Practices to Prevent Transmission of Infections to Patients, and the One &amp; Only Campaign ("one needle, one syringe, only one time").
10. Centers for Disease Control and Prevention — Hepatitis B Vaccine Administration, and recommendations for hepatitis B vaccination and post-vaccination serologic testing of healthcare personnel.
11. Centers for Disease Control and Prevention / National Clinician Consultation Center — PEP Quick Guide for Bloodborne Pathogen Exposures, and guidance on occupational hepatitis B post-exposure prophylaxis.
12. Centers for Disease Control and Prevention — Guideline for Disinfection and Sterilization in Healthcare Facilities: Chemical Disinfectants, and Environmental Services guidance (management of blood spills; inactivation of germicides by organic matter; bleach dilutions).
13. Centers for Disease Control and Prevention — National Healthcare Safety Network (NHSN) Patient Safety Component Manual (standard surveillance definitions for CLABSI, CAUTI, VAE/VAP and SSI).
14. Centers for Disease Control and Prevention — Core Elements of Hospital Antibiotic Stewardship Programs (2019 update) and Priorities for Hospital Core Element Implementation (2022).
15. World Health Organization — ATC/DDD Toolkit: Defined Daily Dose (DDD) methodology, WHO Collaborating Centre for Drug Statistics Methodology, Oslo.
16. World Health Organization — AWaRe (Access, Watch, Reserve) classification of antibiotics.
17. Government of India, Ministry of Environment, Forest and Climate Change — Bio-Medical Waste Management Rules, 2016, as amended, Schedule I (colour-coded segregation categories, treatment and disposal options, and the 48-hour storage limit for untreated waste).
18. Central Pollution Control Board — Guidelines for Handling, Treatment and Disposal of Waste Generated during Healthcare Activities.
Internal documents of HMP Foundation referenced by this policy: Infection Control Committee terms of reference; Infection Prevention and Control Programme document and quality indicator framework; Antimicrobial Usage Policy; Hospital Disinfection Policy; Biomedical Waste Management Plan; Post-Exposure Prophylaxis Protocol; Employee Health and Immunisation Policy; Housekeeping and Environmental Cleaning SOP; Central Sterile Supply Department SOP; and the Records Retention Policy. The specific document numbers and versions are [Hospital to define].
Note on NABH source material: this document has been written in original wording. No text has been reproduced from any NABH publication.</w:t>
      </w:r>
    </w:p>
    <w:p>
      <w:pPr>
        <w:pStyle w:val="Heading1"/>
        <w:spacing w:after="150" w:before="300"/>
      </w:pPr>
      <w:r>
        <w:t xml:space="preserve">7. Distribution</w:t>
      </w:r>
    </w:p>
    <w:p>
      <w:pPr>
        <w:spacing w:after="150"/>
      </w:pPr>
      <w:r>
        <w:rPr>
          <w:sz w:val="22"/>
          <w:szCs w:val="22"/>
        </w:rPr>
        <w:t xml:space="preserve">This is a controlled document of HMP Foundation. Controlled copies, in print or on the hospital intranet, are issued to:
- Office of the Medical Superintendent / Medical Director
- Nursing Superintendent and all nursing in-charges
- Infection Control Committee members and the Infection Control Nurse
- Occupational health / staff health officer
- Antimicrobial Stewardship Team members
- All inpatient wards, intensive care and high-dependency units
- Operation theatre complex, recovery area and central sterile supply
- Labour room, emergency and casualty
- Outpatient departments, dressing rooms and injection rooms
- Dialysis, day-care, endoscopy and interventional or catheterisation suites
- Radiology and imaging
- Laboratory and blood bank
- Pharmacy, including all ward pharmacy points
- Housekeeping and sanitation supervisor
- Biomedical waste in-charge
- Maintenance and engineering
- Human resources and the training department
- Quality department, which holds the master copy
Each recipient area displays the current version at a point accessible to staff on duty. When a revision is issued, the quality department of HMP Foundation withdraws and destroys every superseded copy and records the withdrawal, so that no obsolete version remains in circulation. The distribution list is acknowledged in writing by each recipient. Uncontrolled copies may be issued to assessors, auditors or external agencies only with the approval of the document owner, and are stamped "Uncontrolled Copy" with the date of issue. The document owner and approving authority are [Hospital to define].</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HIC.2.a — Standard precautions applied to every patient at all times</w:t>
      </w:r>
    </w:p>
    <w:p>
      <w:pPr>
        <w:pStyle w:val="ListParagraph"/>
        <w:numPr>
          <w:ilvl w:val="0"/>
          <w:numId w:val="1"/>
        </w:numPr>
        <w:spacing w:after="60"/>
      </w:pPr>
      <w:r>
        <w:rPr>
          <w:sz w:val="22"/>
          <w:szCs w:val="22"/>
        </w:rPr>
        <w:t xml:space="preserve">The laminated summary of the nine elements of standard precautions displayed at every nursing station and in every procedure room of HMP Foundation</w:t>
      </w:r>
    </w:p>
    <w:p>
      <w:pPr>
        <w:pStyle w:val="ListParagraph"/>
        <w:numPr>
          <w:ilvl w:val="0"/>
          <w:numId w:val="1"/>
        </w:numPr>
        <w:spacing w:after="60"/>
      </w:pPr>
      <w:r>
        <w:rPr>
          <w:sz w:val="22"/>
          <w:szCs w:val="22"/>
        </w:rPr>
        <w:t xml:space="preserve">standard precautions spot-check and audit records for each clinical area, evidencing that precautions were applied to every patient during every episode of care rather than selectively on the basis of a diagnosis, appearance, test result or presumed risk</w:t>
      </w:r>
    </w:p>
    <w:p>
      <w:pPr>
        <w:pStyle w:val="ListParagraph"/>
        <w:numPr>
          <w:ilvl w:val="0"/>
          <w:numId w:val="1"/>
        </w:numPr>
        <w:spacing w:after="60"/>
      </w:pPr>
      <w:r>
        <w:rPr>
          <w:sz w:val="22"/>
          <w:szCs w:val="22"/>
        </w:rPr>
        <w:t xml:space="preserve">PPE stock and availability records showing gloves, gowns and plastic aprons, surgical masks, particulate respirators and eye protection present in the appropriate sizes and quantities in each clinical area</w:t>
      </w:r>
    </w:p>
    <w:p>
      <w:pPr>
        <w:pStyle w:val="ListParagraph"/>
        <w:numPr>
          <w:ilvl w:val="0"/>
          <w:numId w:val="1"/>
        </w:numPr>
        <w:spacing w:after="60"/>
      </w:pPr>
      <w:r>
        <w:rPr>
          <w:sz w:val="22"/>
          <w:szCs w:val="22"/>
        </w:rPr>
        <w:t xml:space="preserve">audit records of PPE selection against anticipated exposure under step 10, and of the rule that PPE is not worn from one patient to the next, is not worn in corridors, staff rooms, nursing stations or dining areas, and is not washed, disinfected or re-used where it is single-use</w:t>
      </w:r>
    </w:p>
    <w:p>
      <w:pPr>
        <w:pStyle w:val="ListParagraph"/>
        <w:numPr>
          <w:ilvl w:val="0"/>
          <w:numId w:val="1"/>
        </w:numPr>
        <w:spacing w:after="60"/>
      </w:pPr>
      <w:r>
        <w:rPr>
          <w:sz w:val="22"/>
          <w:szCs w:val="22"/>
        </w:rPr>
        <w:t xml:space="preserve">observed competency assessments of the donning sequence at step 11 and the doffing sequence at step 12, recorded per member of staff rather than as attendance alone, covering the user seal check performed on every respirator occasion and the removal of the mask or respirator only after leaving the room and closing the door</w:t>
      </w:r>
    </w:p>
    <w:p>
      <w:pPr>
        <w:pStyle w:val="ListParagraph"/>
        <w:numPr>
          <w:ilvl w:val="0"/>
          <w:numId w:val="1"/>
        </w:numPr>
        <w:spacing w:after="60"/>
      </w:pPr>
      <w:r>
        <w:rPr>
          <w:sz w:val="22"/>
          <w:szCs w:val="22"/>
        </w:rPr>
        <w:t xml:space="preserve">glove-practice audit records covering hand hygiene performed both before putting gloves on and immediately after removal, glove change between patients and between a dirty and a clean site on the same patient, and the prohibition on gloved hands being used to write in case notes, answer a telephone, operate a computer, open doors or handle personal mobile phones</w:t>
      </w:r>
    </w:p>
    <w:p>
      <w:pPr>
        <w:pStyle w:val="ListParagraph"/>
        <w:numPr>
          <w:ilvl w:val="0"/>
          <w:numId w:val="1"/>
        </w:numPr>
        <w:spacing w:after="60"/>
      </w:pPr>
      <w:r>
        <w:rPr>
          <w:sz w:val="22"/>
          <w:szCs w:val="22"/>
        </w:rPr>
        <w:t xml:space="preserve">the respiratory hygiene and cough etiquette instructions displayed at all entrances, in outpatient waiting areas and at reception in English and the local language, with the tissues, covered waste bins and handrub provided at those points and the record of their replenishment</w:t>
      </w:r>
    </w:p>
    <w:p>
      <w:pPr>
        <w:pStyle w:val="ListParagraph"/>
        <w:numPr>
          <w:ilvl w:val="0"/>
          <w:numId w:val="1"/>
        </w:numPr>
        <w:spacing w:after="60"/>
      </w:pPr>
      <w:r>
        <w:rPr>
          <w:sz w:val="22"/>
          <w:szCs w:val="22"/>
        </w:rPr>
        <w:t xml:space="preserve">records of surgical masks offered to symptomatic patients and attendants and of the one-metre seating separation or separate waiting area used</w:t>
      </w:r>
    </w:p>
    <w:p>
      <w:pPr>
        <w:pStyle w:val="ListParagraph"/>
        <w:numPr>
          <w:ilvl w:val="0"/>
          <w:numId w:val="1"/>
        </w:numPr>
        <w:spacing w:after="60"/>
      </w:pPr>
      <w:r>
        <w:rPr>
          <w:sz w:val="22"/>
          <w:szCs w:val="22"/>
        </w:rPr>
        <w:t xml:space="preserve">occupational health records for staff who developed respiratory symptoms, evidencing that they reported to their supervisor and to occupational health rather than continuing direct patient care unassessed</w:t>
      </w:r>
    </w:p>
    <w:p>
      <w:pPr>
        <w:pStyle w:val="ListParagraph"/>
        <w:numPr>
          <w:ilvl w:val="0"/>
          <w:numId w:val="1"/>
        </w:numPr>
        <w:spacing w:after="60"/>
      </w:pPr>
      <w:r>
        <w:rPr>
          <w:sz w:val="22"/>
          <w:szCs w:val="22"/>
        </w:rPr>
        <w:t xml:space="preserve">training attendance registers and competency assessment records covering standard precautions for every staff group, and ICC minutes recording the audit findings, the named corrective actions with owners and due dates, and the verification of their closure</w:t>
      </w:r>
    </w:p>
    <w:p>
      <w:pPr>
        <w:spacing w:after="90" w:before="200"/>
      </w:pPr>
      <w:r>
        <w:rPr>
          <w:b/>
          <w:bCs/>
          <w:sz w:val="22"/>
          <w:szCs w:val="22"/>
        </w:rPr>
        <w:t xml:space="preserve">HIC.2.b — Adherence to hand hygiene guidelines</w:t>
      </w:r>
    </w:p>
    <w:p>
      <w:pPr>
        <w:pStyle w:val="ListParagraph"/>
        <w:numPr>
          <w:ilvl w:val="0"/>
          <w:numId w:val="1"/>
        </w:numPr>
        <w:spacing w:after="60"/>
      </w:pPr>
      <w:r>
        <w:rPr>
          <w:sz w:val="22"/>
          <w:szCs w:val="22"/>
        </w:rPr>
        <w:t xml:space="preserve">The World Health Organization "My 5 Moments for Hand Hygiene" diagram and the handrub and handwash technique diagrams displayed above every basin and beside every handrub dispenser throughout HMP Foundation, in English and in the local language</w:t>
      </w:r>
    </w:p>
    <w:p>
      <w:pPr>
        <w:pStyle w:val="ListParagraph"/>
        <w:numPr>
          <w:ilvl w:val="0"/>
          <w:numId w:val="1"/>
        </w:numPr>
        <w:spacing w:after="60"/>
      </w:pPr>
      <w:r>
        <w:rPr>
          <w:sz w:val="22"/>
          <w:szCs w:val="22"/>
        </w:rPr>
        <w:t xml:space="preserve">hand hygiene compliance observation sheets recording, per session, the area, the observer, the approximate 20-minute duration, the opportunities counted and whether an action was performed at each</w:t>
      </w:r>
    </w:p>
    <w:p>
      <w:pPr>
        <w:pStyle w:val="ListParagraph"/>
        <w:numPr>
          <w:ilvl w:val="0"/>
          <w:numId w:val="1"/>
        </w:numPr>
        <w:spacing w:after="60"/>
      </w:pPr>
      <w:r>
        <w:rPr>
          <w:sz w:val="22"/>
          <w:szCs w:val="22"/>
        </w:rPr>
        <w:t xml:space="preserve">compliance rates calculated as actions performed divided by opportunities observed, reported separately by professional category — doctors, nurses, technicians, housekeeping — and by clinical area, rather than as a single hospital-wide figure that conceals where the problem sits</w:t>
      </w:r>
    </w:p>
    <w:p>
      <w:pPr>
        <w:pStyle w:val="ListParagraph"/>
        <w:numPr>
          <w:ilvl w:val="0"/>
          <w:numId w:val="1"/>
        </w:numPr>
        <w:spacing w:after="60"/>
      </w:pPr>
      <w:r>
        <w:rPr>
          <w:sz w:val="22"/>
          <w:szCs w:val="22"/>
        </w:rPr>
        <w:t xml:space="preserve">the register of trained and validated observers</w:t>
      </w:r>
    </w:p>
    <w:p>
      <w:pPr>
        <w:pStyle w:val="ListParagraph"/>
        <w:numPr>
          <w:ilvl w:val="0"/>
          <w:numId w:val="1"/>
        </w:numPr>
        <w:spacing w:after="60"/>
      </w:pPr>
      <w:r>
        <w:rPr>
          <w:sz w:val="22"/>
          <w:szCs w:val="22"/>
        </w:rPr>
        <w:t xml:space="preserve">the audit frequency and the compliance target adopted by HMP Foundation, recorded in advance of the observation rather than after it</w:t>
      </w:r>
    </w:p>
    <w:p>
      <w:pPr>
        <w:pStyle w:val="ListParagraph"/>
        <w:numPr>
          <w:ilvl w:val="0"/>
          <w:numId w:val="1"/>
        </w:numPr>
        <w:spacing w:after="60"/>
      </w:pPr>
      <w:r>
        <w:rPr>
          <w:sz w:val="22"/>
          <w:szCs w:val="22"/>
        </w:rPr>
        <w:t xml:space="preserve">dated records of feedback to the audited area within the stated interval, of display on the ward notice board, and of tabling at the ICC</w:t>
      </w:r>
    </w:p>
    <w:p>
      <w:pPr>
        <w:pStyle w:val="ListParagraph"/>
        <w:numPr>
          <w:ilvl w:val="0"/>
          <w:numId w:val="1"/>
        </w:numPr>
        <w:spacing w:after="60"/>
      </w:pPr>
      <w:r>
        <w:rPr>
          <w:sz w:val="22"/>
          <w:szCs w:val="22"/>
        </w:rPr>
        <w:t xml:space="preserve">for any area falling below target, the ICC minute recording a named corrective action with an owner and a due date, and the re-audit of that area confirming whether the action worked</w:t>
      </w:r>
    </w:p>
    <w:p>
      <w:pPr>
        <w:pStyle w:val="ListParagraph"/>
        <w:numPr>
          <w:ilvl w:val="0"/>
          <w:numId w:val="1"/>
        </w:numPr>
        <w:spacing w:after="60"/>
      </w:pPr>
      <w:r>
        <w:rPr>
          <w:sz w:val="22"/>
          <w:szCs w:val="22"/>
        </w:rPr>
        <w:t xml:space="preserve">handrub consumption per 1,000 patient-days tracked from stores issue data as the supporting indicator that direct observation alone can be influenced by the observer's presence</w:t>
      </w:r>
    </w:p>
    <w:p>
      <w:pPr>
        <w:pStyle w:val="ListParagraph"/>
        <w:numPr>
          <w:ilvl w:val="0"/>
          <w:numId w:val="1"/>
        </w:numPr>
        <w:spacing w:after="60"/>
      </w:pPr>
      <w:r>
        <w:rPr>
          <w:sz w:val="22"/>
          <w:szCs w:val="22"/>
        </w:rPr>
        <w:t xml:space="preserve">handrub and soap dispenser check and refill logs completed by housekeeping at the start of each shift, with the ICN's review at the stated frequency, and evidence that a dispenser found empty on more than one check was reported to the ICC as an infection control incident rather than simply refilled</w:t>
      </w:r>
    </w:p>
    <w:p>
      <w:pPr>
        <w:pStyle w:val="ListParagraph"/>
        <w:numPr>
          <w:ilvl w:val="0"/>
          <w:numId w:val="1"/>
        </w:numPr>
        <w:spacing w:after="60"/>
      </w:pPr>
      <w:r>
        <w:rPr>
          <w:sz w:val="22"/>
          <w:szCs w:val="22"/>
        </w:rPr>
        <w:t xml:space="preserve">records evidencing that alcohol-based handrub is sited within arm's reach of the point of care — at the entry to each bed space, on each medication and procedure trolley, at ward entry and exit points and at the entrance to every intensive care and procedure area</w:t>
      </w:r>
    </w:p>
    <w:p>
      <w:pPr>
        <w:pStyle w:val="ListParagraph"/>
        <w:numPr>
          <w:ilvl w:val="0"/>
          <w:numId w:val="1"/>
        </w:numPr>
        <w:spacing w:after="60"/>
      </w:pPr>
      <w:r>
        <w:rPr>
          <w:sz w:val="22"/>
          <w:szCs w:val="22"/>
        </w:rPr>
        <w:t xml:space="preserve">handwash basin provision records showing adequate size and depth to contain splashing, running water, liquid soap in a wall-mounted dispenser that is not topped up on to a partly used refill, and single-use towels or tissue for drying</w:t>
      </w:r>
    </w:p>
    <w:p>
      <w:pPr>
        <w:pStyle w:val="ListParagraph"/>
        <w:numPr>
          <w:ilvl w:val="0"/>
          <w:numId w:val="1"/>
        </w:numPr>
        <w:spacing w:after="60"/>
      </w:pPr>
      <w:r>
        <w:rPr>
          <w:sz w:val="22"/>
          <w:szCs w:val="22"/>
        </w:rPr>
        <w:t xml:space="preserve">the tap conversion record for hands-free taps, and specifically for the operation theatre scrub area the evidence that taps are elbow, foot or sensor operated without exception, together with the record that any scrub basin still fitted with a hand-operated tap is withdrawn from surgical scrubbing until conversion is complete</w:t>
      </w:r>
    </w:p>
    <w:p>
      <w:pPr>
        <w:pStyle w:val="ListParagraph"/>
        <w:numPr>
          <w:ilvl w:val="0"/>
          <w:numId w:val="1"/>
        </w:numPr>
        <w:spacing w:after="60"/>
      </w:pPr>
      <w:r>
        <w:rPr>
          <w:sz w:val="22"/>
          <w:szCs w:val="22"/>
        </w:rPr>
        <w:t xml:space="preserve">records of the conditions that make correct hand hygiene possible — fingernails short, clean and free of nail polish, gel and artificial nails, hand and wrist jewellery not worn during clinical care, cuts and abrasions covered with a waterproof dressing before duty</w:t>
      </w:r>
    </w:p>
    <w:p>
      <w:pPr>
        <w:pStyle w:val="ListParagraph"/>
        <w:numPr>
          <w:ilvl w:val="0"/>
          <w:numId w:val="1"/>
        </w:numPr>
        <w:spacing w:after="60"/>
      </w:pPr>
      <w:r>
        <w:rPr>
          <w:sz w:val="22"/>
          <w:szCs w:val="22"/>
        </w:rPr>
        <w:t xml:space="preserve">the ICN's assessment records for any member of staff reporting dermatitis, cracked skin or an open hand lesion, with the fitness-for-contact decision recorded</w:t>
      </w:r>
    </w:p>
    <w:p>
      <w:pPr>
        <w:pStyle w:val="ListParagraph"/>
        <w:numPr>
          <w:ilvl w:val="0"/>
          <w:numId w:val="1"/>
        </w:numPr>
        <w:spacing w:after="60"/>
      </w:pPr>
      <w:r>
        <w:rPr>
          <w:sz w:val="22"/>
          <w:szCs w:val="22"/>
        </w:rPr>
        <w:t xml:space="preserve">the provision record for hand moisturiser compatible with the handrub in use</w:t>
      </w:r>
    </w:p>
    <w:p>
      <w:pPr>
        <w:spacing w:after="90" w:before="200"/>
      </w:pPr>
      <w:r>
        <w:rPr>
          <w:b/>
          <w:bCs/>
          <w:sz w:val="22"/>
          <w:szCs w:val="22"/>
        </w:rPr>
        <w:t xml:space="preserve">HIC.2.c — Adherence to transmission-based precautions</w:t>
      </w:r>
    </w:p>
    <w:p>
      <w:pPr>
        <w:pStyle w:val="ListParagraph"/>
        <w:numPr>
          <w:ilvl w:val="0"/>
          <w:numId w:val="1"/>
        </w:numPr>
        <w:spacing w:after="60"/>
      </w:pPr>
      <w:r>
        <w:rPr>
          <w:sz w:val="22"/>
          <w:szCs w:val="22"/>
        </w:rPr>
        <w:t xml:space="preserve">The written statement that transmission-based precautions are applied in addition to standard precautions and never instead of them, and that they are started on clinical suspicion without waiting for a laboratory result to confirm the organism</w:t>
      </w:r>
    </w:p>
    <w:p>
      <w:pPr>
        <w:pStyle w:val="ListParagraph"/>
        <w:numPr>
          <w:ilvl w:val="0"/>
          <w:numId w:val="1"/>
        </w:numPr>
        <w:spacing w:after="60"/>
      </w:pPr>
      <w:r>
        <w:rPr>
          <w:sz w:val="22"/>
          <w:szCs w:val="22"/>
        </w:rPr>
        <w:t xml:space="preserve">the precaution assignment register recording, for every patient placed under precautions, the patient identifier, the precaution category, the date and time of starting, the person who authorised it and the date of discontinuation</w:t>
      </w:r>
    </w:p>
    <w:p>
      <w:pPr>
        <w:pStyle w:val="ListParagraph"/>
        <w:numPr>
          <w:ilvl w:val="0"/>
          <w:numId w:val="1"/>
        </w:numPr>
        <w:spacing w:after="60"/>
      </w:pPr>
      <w:r>
        <w:rPr>
          <w:sz w:val="22"/>
          <w:szCs w:val="22"/>
        </w:rPr>
        <w:t xml:space="preserve">records evidencing that any doctor or nurse may initiate precautions, that the treating doctor and the ICN were informed within the stated interval, and that the ICN then confirmed or modified the category</w:t>
      </w:r>
    </w:p>
    <w:p>
      <w:pPr>
        <w:pStyle w:val="ListParagraph"/>
        <w:numPr>
          <w:ilvl w:val="0"/>
          <w:numId w:val="1"/>
        </w:numPr>
        <w:spacing w:after="60"/>
      </w:pPr>
      <w:r>
        <w:rPr>
          <w:sz w:val="22"/>
          <w:szCs w:val="22"/>
        </w:rPr>
        <w:t xml:space="preserve">the entry in the case record and in the nursing handover recording the category in force</w:t>
      </w:r>
    </w:p>
    <w:p>
      <w:pPr>
        <w:pStyle w:val="ListParagraph"/>
        <w:numPr>
          <w:ilvl w:val="0"/>
          <w:numId w:val="1"/>
        </w:numPr>
        <w:spacing w:after="60"/>
      </w:pPr>
      <w:r>
        <w:rPr>
          <w:sz w:val="22"/>
          <w:szCs w:val="22"/>
        </w:rPr>
        <w:t xml:space="preserve">the instruction card displayed at the entrance to the bed space or room, showing the PPE required and what staff and visitors must do, and demonstrably not naming the patient's diagnosis so that confidentiality is preserved</w:t>
      </w:r>
    </w:p>
    <w:p>
      <w:pPr>
        <w:pStyle w:val="ListParagraph"/>
        <w:numPr>
          <w:ilvl w:val="0"/>
          <w:numId w:val="1"/>
        </w:numPr>
        <w:spacing w:after="60"/>
      </w:pPr>
      <w:r>
        <w:rPr>
          <w:sz w:val="22"/>
          <w:szCs w:val="22"/>
        </w:rPr>
        <w:t xml:space="preserve">the consolidated PPE-by-category list held in step 15 and used as the single source for the entrance card, the induction training and the audit tool — gown and gloves for contact</w:t>
      </w:r>
    </w:p>
    <w:p>
      <w:pPr>
        <w:pStyle w:val="ListParagraph"/>
        <w:numPr>
          <w:ilvl w:val="0"/>
          <w:numId w:val="1"/>
        </w:numPr>
        <w:spacing w:after="60"/>
      </w:pPr>
      <w:r>
        <w:rPr>
          <w:sz w:val="22"/>
          <w:szCs w:val="22"/>
        </w:rPr>
        <w:t xml:space="preserve">surgical mask, with eye protection where splashing towards the face is anticipated, for droplet</w:t>
      </w:r>
    </w:p>
    <w:p>
      <w:pPr>
        <w:pStyle w:val="ListParagraph"/>
        <w:numPr>
          <w:ilvl w:val="0"/>
          <w:numId w:val="1"/>
        </w:numPr>
        <w:spacing w:after="60"/>
      </w:pPr>
      <w:r>
        <w:rPr>
          <w:sz w:val="22"/>
          <w:szCs w:val="22"/>
        </w:rPr>
        <w:t xml:space="preserve">fit-tested particulate respirator with a user seal check on every occasion for airborne — together with the rule that where more than one route applies the requirements are cumulative and the most protective respiratory item governs</w:t>
      </w:r>
    </w:p>
    <w:p>
      <w:pPr>
        <w:pStyle w:val="ListParagraph"/>
        <w:numPr>
          <w:ilvl w:val="0"/>
          <w:numId w:val="1"/>
        </w:numPr>
        <w:spacing w:after="60"/>
      </w:pPr>
      <w:r>
        <w:rPr>
          <w:sz w:val="22"/>
          <w:szCs w:val="22"/>
        </w:rPr>
        <w:t xml:space="preserve">audit evidence that PPE was still selected on anticipated exposure under step 10 even where the assigned category did not call for it, the category being the minimum and never the maximum</w:t>
      </w:r>
    </w:p>
    <w:p>
      <w:pPr>
        <w:pStyle w:val="ListParagraph"/>
        <w:numPr>
          <w:ilvl w:val="0"/>
          <w:numId w:val="1"/>
        </w:numPr>
        <w:spacing w:after="60"/>
      </w:pPr>
      <w:r>
        <w:rPr>
          <w:sz w:val="22"/>
          <w:szCs w:val="22"/>
        </w:rPr>
        <w:t xml:space="preserve">the periodic review records required by step 15, showing the assigned category reviewed by the ICN at the stated interval and additionally on any change in clinical condition or new microbiology result, each review entered in the precaution assignment register with the date, the reviewer and the decision to continue, change or discontinue</w:t>
      </w:r>
    </w:p>
    <w:p>
      <w:pPr>
        <w:pStyle w:val="ListParagraph"/>
        <w:numPr>
          <w:ilvl w:val="0"/>
          <w:numId w:val="1"/>
        </w:numPr>
        <w:spacing w:after="60"/>
      </w:pPr>
      <w:r>
        <w:rPr>
          <w:sz w:val="22"/>
          <w:szCs w:val="22"/>
        </w:rPr>
        <w:t xml:space="preserve">for contact precautions, records of single-room placement or, where unavailable, of cohorting patients with the same organism or of the one-metre spatial separation with the privacy curtain drawn</w:t>
      </w:r>
    </w:p>
    <w:p>
      <w:pPr>
        <w:pStyle w:val="ListParagraph"/>
        <w:numPr>
          <w:ilvl w:val="0"/>
          <w:numId w:val="1"/>
        </w:numPr>
        <w:spacing w:after="60"/>
      </w:pPr>
      <w:r>
        <w:rPr>
          <w:sz w:val="22"/>
          <w:szCs w:val="22"/>
        </w:rPr>
        <w:t xml:space="preserve">the dedication of stethoscope, thermometer and sphygmomanometer cuff to the single patient</w:t>
      </w:r>
    </w:p>
    <w:p>
      <w:pPr>
        <w:pStyle w:val="ListParagraph"/>
        <w:numPr>
          <w:ilvl w:val="0"/>
          <w:numId w:val="1"/>
        </w:numPr>
        <w:spacing w:after="60"/>
      </w:pPr>
      <w:r>
        <w:rPr>
          <w:sz w:val="22"/>
          <w:szCs w:val="22"/>
        </w:rPr>
        <w:t xml:space="preserve">the disinfectant used and its manufacturer-stated contact time where equipment had to be shared</w:t>
      </w:r>
    </w:p>
    <w:p>
      <w:pPr>
        <w:pStyle w:val="ListParagraph"/>
        <w:numPr>
          <w:ilvl w:val="0"/>
          <w:numId w:val="1"/>
        </w:numPr>
        <w:spacing w:after="60"/>
      </w:pPr>
      <w:r>
        <w:rPr>
          <w:sz w:val="22"/>
          <w:szCs w:val="22"/>
        </w:rPr>
        <w:t xml:space="preserve">the increased cleaning frequency for frequently touched surfaces in the patient zone</w:t>
      </w:r>
    </w:p>
    <w:p>
      <w:pPr>
        <w:pStyle w:val="ListParagraph"/>
        <w:numPr>
          <w:ilvl w:val="0"/>
          <w:numId w:val="1"/>
        </w:numPr>
        <w:spacing w:after="60"/>
      </w:pPr>
      <w:r>
        <w:rPr>
          <w:sz w:val="22"/>
          <w:szCs w:val="22"/>
        </w:rPr>
        <w:t xml:space="preserve">and for Clostridioides difficile specifically the record that staff washed hands with soap and water rather than handrub and that a sporicidal agent was used for environmental cleaning</w:t>
      </w:r>
    </w:p>
    <w:p>
      <w:pPr>
        <w:pStyle w:val="ListParagraph"/>
        <w:numPr>
          <w:ilvl w:val="0"/>
          <w:numId w:val="1"/>
        </w:numPr>
        <w:spacing w:after="60"/>
      </w:pPr>
      <w:r>
        <w:rPr>
          <w:sz w:val="22"/>
          <w:szCs w:val="22"/>
        </w:rPr>
        <w:t xml:space="preserve">for droplet precautions, records of placement, of the surgical mask put on before entering and removed after leaving, of eye protection where splashing was anticipated, and of the patient wearing a surgical mask when staff were within close range and whenever moved outside the room</w:t>
      </w:r>
    </w:p>
    <w:p>
      <w:pPr>
        <w:pStyle w:val="ListParagraph"/>
        <w:numPr>
          <w:ilvl w:val="0"/>
          <w:numId w:val="1"/>
        </w:numPr>
        <w:spacing w:after="60"/>
      </w:pPr>
      <w:r>
        <w:rPr>
          <w:sz w:val="22"/>
          <w:szCs w:val="22"/>
        </w:rPr>
        <w:t xml:space="preserve">for airborne precautions, the AIIR record showing negative pressure relative to the adjacent corridor with the pressure differential monitored, air exhausted directly outdoors or recirculated only through HEPA filtration, and a ventilation rate of at least 12 air changes per hour in new construction or renovated rooms and at least 6 air changes per hour in existing facilities</w:t>
      </w:r>
    </w:p>
    <w:p>
      <w:pPr>
        <w:pStyle w:val="ListParagraph"/>
        <w:numPr>
          <w:ilvl w:val="0"/>
          <w:numId w:val="1"/>
        </w:numPr>
        <w:spacing w:after="60"/>
      </w:pPr>
      <w:r>
        <w:rPr>
          <w:sz w:val="22"/>
          <w:szCs w:val="22"/>
        </w:rPr>
        <w:t xml:space="preserve">the record that the door was kept closed except during entry and exit</w:t>
      </w:r>
    </w:p>
    <w:p>
      <w:pPr>
        <w:pStyle w:val="ListParagraph"/>
        <w:numPr>
          <w:ilvl w:val="0"/>
          <w:numId w:val="1"/>
        </w:numPr>
        <w:spacing w:after="60"/>
      </w:pPr>
      <w:r>
        <w:rPr>
          <w:sz w:val="22"/>
          <w:szCs w:val="22"/>
        </w:rPr>
        <w:t xml:space="preserve">respirator fit-test and periodic re-fit-test records under the respiratory protection programme, with the user seal check performed on each occasion</w:t>
      </w:r>
    </w:p>
    <w:p>
      <w:pPr>
        <w:pStyle w:val="ListParagraph"/>
        <w:numPr>
          <w:ilvl w:val="0"/>
          <w:numId w:val="1"/>
        </w:numPr>
        <w:spacing w:after="60"/>
      </w:pPr>
      <w:r>
        <w:rPr>
          <w:sz w:val="22"/>
          <w:szCs w:val="22"/>
        </w:rPr>
        <w:t xml:space="preserve">the record that staff without immunity did not enter the room of a patient with measles or chickenpox where an immune member of staff was available</w:t>
      </w:r>
    </w:p>
    <w:p>
      <w:pPr>
        <w:pStyle w:val="ListParagraph"/>
        <w:numPr>
          <w:ilvl w:val="0"/>
          <w:numId w:val="1"/>
        </w:numPr>
        <w:spacing w:after="60"/>
      </w:pPr>
      <w:r>
        <w:rPr>
          <w:sz w:val="22"/>
          <w:szCs w:val="22"/>
        </w:rPr>
        <w:t xml:space="preserve">and the number and location of AIIRs at HMP Foundation together with the recorded arrangement used when no AIIR is available</w:t>
      </w:r>
    </w:p>
    <w:p>
      <w:pPr>
        <w:pStyle w:val="ListParagraph"/>
        <w:numPr>
          <w:ilvl w:val="0"/>
          <w:numId w:val="1"/>
        </w:numPr>
        <w:spacing w:after="60"/>
      </w:pPr>
      <w:r>
        <w:rPr>
          <w:sz w:val="22"/>
          <w:szCs w:val="22"/>
        </w:rPr>
        <w:t xml:space="preserve">patient transport records evidencing that the receiving department was informed of the category before the move, that the infectious site was contained by a dressing or a surgical mask, and that transporting staff changed contaminated PPE and performed hand hygiene before arriving at the receiving area so that PPE worn in the patient room was not worn through public corridors</w:t>
      </w:r>
    </w:p>
    <w:p>
      <w:pPr>
        <w:pStyle w:val="ListParagraph"/>
        <w:numPr>
          <w:ilvl w:val="0"/>
          <w:numId w:val="1"/>
        </w:numPr>
        <w:spacing w:after="60"/>
      </w:pPr>
      <w:r>
        <w:rPr>
          <w:sz w:val="22"/>
          <w:szCs w:val="22"/>
        </w:rPr>
        <w:t xml:space="preserve">the documented discontinuation decision of the ICN or treating doctor for every patient, recording the basis relied on — clinical resolution, the required number of negative results, or completion of a defined treatment period</w:t>
      </w:r>
    </w:p>
    <w:p>
      <w:pPr>
        <w:pStyle w:val="ListParagraph"/>
        <w:numPr>
          <w:ilvl w:val="0"/>
          <w:numId w:val="1"/>
        </w:numPr>
        <w:spacing w:after="60"/>
      </w:pPr>
      <w:r>
        <w:rPr>
          <w:sz w:val="22"/>
          <w:szCs w:val="22"/>
        </w:rPr>
        <w:t xml:space="preserve">the standing reference criteria adopted at step 19 and the evidence they were applied, covering measles at 4 days after onset of rash and duration of illness if immunocompromised</w:t>
      </w:r>
    </w:p>
    <w:p>
      <w:pPr>
        <w:pStyle w:val="ListParagraph"/>
        <w:numPr>
          <w:ilvl w:val="0"/>
          <w:numId w:val="1"/>
        </w:numPr>
        <w:spacing w:after="60"/>
      </w:pPr>
      <w:r>
        <w:rPr>
          <w:sz w:val="22"/>
          <w:szCs w:val="22"/>
        </w:rPr>
        <w:t xml:space="preserve">chickenpox and disseminated herpes zoster until all lesions are dry and crusted</w:t>
      </w:r>
    </w:p>
    <w:p>
      <w:pPr>
        <w:pStyle w:val="ListParagraph"/>
        <w:numPr>
          <w:ilvl w:val="0"/>
          <w:numId w:val="1"/>
        </w:numPr>
        <w:spacing w:after="60"/>
      </w:pPr>
      <w:r>
        <w:rPr>
          <w:sz w:val="22"/>
          <w:szCs w:val="22"/>
        </w:rPr>
        <w:t xml:space="preserve">confirmed pulmonary or laryngeal tuberculosis only on effective therapy with clinical improvement and three consecutive sputum smears negative for acid-fast bacilli collected on separate days</w:t>
      </w:r>
    </w:p>
    <w:p>
      <w:pPr>
        <w:pStyle w:val="ListParagraph"/>
        <w:numPr>
          <w:ilvl w:val="0"/>
          <w:numId w:val="1"/>
        </w:numPr>
        <w:spacing w:after="60"/>
      </w:pPr>
      <w:r>
        <w:rPr>
          <w:sz w:val="22"/>
          <w:szCs w:val="22"/>
        </w:rPr>
        <w:t xml:space="preserve">suspected pulmonary or laryngeal tuberculosis only when infectious tuberculosis is judged negligible and either another diagnosis explains the syndrome or three acid-fast bacilli smears are negative, each collected 8 to 24 hours apart with at least one taken in the early morning</w:t>
      </w:r>
    </w:p>
    <w:p>
      <w:pPr>
        <w:pStyle w:val="ListParagraph"/>
        <w:numPr>
          <w:ilvl w:val="0"/>
          <w:numId w:val="1"/>
        </w:numPr>
        <w:spacing w:after="60"/>
      </w:pPr>
      <w:r>
        <w:rPr>
          <w:sz w:val="22"/>
          <w:szCs w:val="22"/>
        </w:rPr>
        <w:t xml:space="preserve">pertussis until 5 days after effective antibiotic therapy started</w:t>
      </w:r>
    </w:p>
    <w:p>
      <w:pPr>
        <w:pStyle w:val="ListParagraph"/>
        <w:numPr>
          <w:ilvl w:val="0"/>
          <w:numId w:val="1"/>
        </w:numPr>
        <w:spacing w:after="60"/>
      </w:pPr>
      <w:r>
        <w:rPr>
          <w:sz w:val="22"/>
          <w:szCs w:val="22"/>
        </w:rPr>
        <w:t xml:space="preserve">meningococcal disease or meningitis until 24 hours after effective therapy started</w:t>
      </w:r>
    </w:p>
    <w:p>
      <w:pPr>
        <w:pStyle w:val="ListParagraph"/>
        <w:numPr>
          <w:ilvl w:val="0"/>
          <w:numId w:val="1"/>
        </w:numPr>
        <w:spacing w:after="60"/>
      </w:pPr>
      <w:r>
        <w:rPr>
          <w:sz w:val="22"/>
          <w:szCs w:val="22"/>
        </w:rPr>
        <w:t xml:space="preserve">mumps until 5 days after the onset of parotid swelling</w:t>
      </w:r>
    </w:p>
    <w:p>
      <w:pPr>
        <w:pStyle w:val="ListParagraph"/>
        <w:numPr>
          <w:ilvl w:val="0"/>
          <w:numId w:val="1"/>
        </w:numPr>
        <w:spacing w:after="60"/>
      </w:pPr>
      <w:r>
        <w:rPr>
          <w:sz w:val="22"/>
          <w:szCs w:val="22"/>
        </w:rPr>
        <w:t xml:space="preserve">group A streptococcal pneumonia until 24 hours after effective therapy started with contact precautions added where skin lesions are present</w:t>
      </w:r>
    </w:p>
    <w:p>
      <w:pPr>
        <w:pStyle w:val="ListParagraph"/>
        <w:numPr>
          <w:ilvl w:val="0"/>
          <w:numId w:val="1"/>
        </w:numPr>
        <w:spacing w:after="60"/>
      </w:pPr>
      <w:r>
        <w:rPr>
          <w:sz w:val="22"/>
          <w:szCs w:val="22"/>
        </w:rPr>
        <w:t xml:space="preserve">Clostridioides difficile for the duration of the illness</w:t>
      </w:r>
    </w:p>
    <w:p>
      <w:pPr>
        <w:pStyle w:val="ListParagraph"/>
        <w:numPr>
          <w:ilvl w:val="0"/>
          <w:numId w:val="1"/>
        </w:numPr>
        <w:spacing w:after="60"/>
      </w:pPr>
      <w:r>
        <w:rPr>
          <w:sz w:val="22"/>
          <w:szCs w:val="22"/>
        </w:rPr>
        <w:t xml:space="preserve">norovirus gastroenteritis with cohorting to separate air spaces and toilet facilities during an outbreak</w:t>
      </w:r>
    </w:p>
    <w:p>
      <w:pPr>
        <w:pStyle w:val="ListParagraph"/>
        <w:numPr>
          <w:ilvl w:val="0"/>
          <w:numId w:val="1"/>
        </w:numPr>
        <w:spacing w:after="60"/>
      </w:pPr>
      <w:r>
        <w:rPr>
          <w:sz w:val="22"/>
          <w:szCs w:val="22"/>
        </w:rPr>
        <w:t xml:space="preserve">and multidrug-resistant organisms for a duration determined by the infection control programme and recorded as a standing ICC decision rather than as a fixed period</w:t>
      </w:r>
    </w:p>
    <w:p>
      <w:pPr>
        <w:pStyle w:val="ListParagraph"/>
        <w:numPr>
          <w:ilvl w:val="0"/>
          <w:numId w:val="1"/>
        </w:numPr>
        <w:spacing w:after="60"/>
      </w:pPr>
      <w:r>
        <w:rPr>
          <w:sz w:val="22"/>
          <w:szCs w:val="22"/>
        </w:rPr>
        <w:t xml:space="preserve">the separately recorded criterion for seasonal influenza, which step 19 deliberately leaves to HMP Foundation because the CDC appendix carries no duration entry for it, together with the evidence that the criterion is reconsidered each season</w:t>
      </w:r>
    </w:p>
    <w:p>
      <w:pPr>
        <w:pStyle w:val="ListParagraph"/>
        <w:numPr>
          <w:ilvl w:val="0"/>
          <w:numId w:val="1"/>
        </w:numPr>
        <w:spacing w:after="60"/>
      </w:pPr>
      <w:r>
        <w:rPr>
          <w:sz w:val="22"/>
          <w:szCs w:val="22"/>
        </w:rPr>
        <w:t xml:space="preserve">the criterion recorded against any organism not named in step 19, set by the ICN in consultation with the treating doctor and entered in the register against that patient</w:t>
      </w:r>
    </w:p>
    <w:p>
      <w:pPr>
        <w:pStyle w:val="ListParagraph"/>
        <w:numPr>
          <w:ilvl w:val="0"/>
          <w:numId w:val="1"/>
        </w:numPr>
        <w:spacing w:after="60"/>
      </w:pPr>
      <w:r>
        <w:rPr>
          <w:sz w:val="22"/>
          <w:szCs w:val="22"/>
        </w:rPr>
        <w:t xml:space="preserve">the case-record entry and ICN notification for any occasion on which the treating doctor departed from a standing criterion, with the reason stated</w:t>
      </w:r>
    </w:p>
    <w:p>
      <w:pPr>
        <w:pStyle w:val="ListParagraph"/>
        <w:numPr>
          <w:ilvl w:val="0"/>
          <w:numId w:val="1"/>
        </w:numPr>
        <w:spacing w:after="60"/>
      </w:pPr>
      <w:r>
        <w:rPr>
          <w:sz w:val="22"/>
          <w:szCs w:val="22"/>
        </w:rPr>
        <w:t xml:space="preserve">terminal cleaning and disinfection records for the isolation room completed and recorded on discontinuation or discharge, before the next patient was admitted to it</w:t>
      </w:r>
    </w:p>
    <w:p>
      <w:pPr>
        <w:pStyle w:val="ListParagraph"/>
        <w:numPr>
          <w:ilvl w:val="0"/>
          <w:numId w:val="1"/>
        </w:numPr>
        <w:spacing w:after="60"/>
      </w:pPr>
      <w:r>
        <w:rPr>
          <w:sz w:val="22"/>
          <w:szCs w:val="22"/>
        </w:rPr>
        <w:t xml:space="preserve">training and competency records covering category assignment, the PPE required by each category, and the discontinuation criteria</w:t>
      </w:r>
    </w:p>
    <w:p>
      <w:pPr>
        <w:pStyle w:val="ListParagraph"/>
        <w:numPr>
          <w:ilvl w:val="0"/>
          <w:numId w:val="1"/>
        </w:numPr>
        <w:spacing w:after="60"/>
      </w:pPr>
      <w:r>
        <w:rPr>
          <w:sz w:val="22"/>
          <w:szCs w:val="22"/>
        </w:rPr>
        <w:t xml:space="preserve">ICC minutes recording review of the precaution assignment register, of isolation capacity and of any delay between suspicion and the start of precautions, with named corrective actions, owners, due dates and verified closure</w:t>
      </w:r>
    </w:p>
    <w:p>
      <w:pPr>
        <w:spacing w:after="90" w:before="200"/>
      </w:pPr>
      <w:r>
        <w:rPr>
          <w:b/>
          <w:bCs/>
          <w:sz w:val="22"/>
          <w:szCs w:val="22"/>
        </w:rPr>
        <w:t xml:space="preserve">HIC.2.d — Adherence to safe injection and infusion practices</w:t>
      </w:r>
    </w:p>
    <w:p>
      <w:pPr>
        <w:pStyle w:val="ListParagraph"/>
        <w:numPr>
          <w:ilvl w:val="0"/>
          <w:numId w:val="1"/>
        </w:numPr>
        <w:spacing w:after="60"/>
      </w:pPr>
      <w:r>
        <w:rPr>
          <w:sz w:val="22"/>
          <w:szCs w:val="22"/>
        </w:rPr>
        <w:t xml:space="preserve">The written statement of the one needle, one syringe, one patient, one time principle and evidence of its display in medication preparation areas</w:t>
      </w:r>
    </w:p>
    <w:p>
      <w:pPr>
        <w:pStyle w:val="ListParagraph"/>
        <w:numPr>
          <w:ilvl w:val="0"/>
          <w:numId w:val="1"/>
        </w:numPr>
        <w:spacing w:after="60"/>
      </w:pPr>
      <w:r>
        <w:rPr>
          <w:sz w:val="22"/>
          <w:szCs w:val="22"/>
        </w:rPr>
        <w:t xml:space="preserve">audit records of injection preparation showing aseptic technique after hand hygiene, a new sterile needle and a new sterile syringe used for each patient and for each entry into any medication container, and both discarded after use even where the needle alone was changed</w:t>
      </w:r>
    </w:p>
    <w:p>
      <w:pPr>
        <w:pStyle w:val="ListParagraph"/>
        <w:numPr>
          <w:ilvl w:val="0"/>
          <w:numId w:val="1"/>
        </w:numPr>
        <w:spacing w:after="60"/>
      </w:pPr>
      <w:r>
        <w:rPr>
          <w:sz w:val="22"/>
          <w:szCs w:val="22"/>
        </w:rPr>
        <w:t xml:space="preserve">audit evidence that no syringe was reused to draw a further dose, that no vial, bag or bottle was re-entered with a needle or syringe already used on a patient, and that medication from a single syringe was not administered to more than one patient</w:t>
      </w:r>
    </w:p>
    <w:p>
      <w:pPr>
        <w:pStyle w:val="ListParagraph"/>
        <w:numPr>
          <w:ilvl w:val="0"/>
          <w:numId w:val="1"/>
        </w:numPr>
        <w:spacing w:after="60"/>
      </w:pPr>
      <w:r>
        <w:rPr>
          <w:sz w:val="22"/>
          <w:szCs w:val="22"/>
        </w:rPr>
        <w:t xml:space="preserve">the designated medication preparation area, physically separated from any area where contaminated items are placed, with its layout recorded</w:t>
      </w:r>
    </w:p>
    <w:p>
      <w:pPr>
        <w:pStyle w:val="ListParagraph"/>
        <w:numPr>
          <w:ilvl w:val="0"/>
          <w:numId w:val="1"/>
        </w:numPr>
        <w:spacing w:after="60"/>
      </w:pPr>
      <w:r>
        <w:rPr>
          <w:sz w:val="22"/>
          <w:szCs w:val="22"/>
        </w:rPr>
        <w:t xml:space="preserve">labelling audit records showing every prepared syringe carrying the drug name, strength and the date and time of preparation, and the absence of pre-drawn unlabelled syringes carried on trolleys for later use</w:t>
      </w:r>
    </w:p>
    <w:p>
      <w:pPr>
        <w:pStyle w:val="ListParagraph"/>
        <w:numPr>
          <w:ilvl w:val="0"/>
          <w:numId w:val="1"/>
        </w:numPr>
        <w:spacing w:after="60"/>
      </w:pPr>
      <w:r>
        <w:rPr>
          <w:sz w:val="22"/>
          <w:szCs w:val="22"/>
        </w:rPr>
        <w:t xml:space="preserve">the record that patients and attendants are entitled to see the needle and syringe opened from an intact sterile pack, and the means by which that entitlement is communicated</w:t>
      </w:r>
    </w:p>
    <w:p>
      <w:pPr>
        <w:pStyle w:val="ListParagraph"/>
        <w:numPr>
          <w:ilvl w:val="0"/>
          <w:numId w:val="1"/>
        </w:numPr>
        <w:spacing w:after="60"/>
      </w:pPr>
      <w:r>
        <w:rPr>
          <w:sz w:val="22"/>
          <w:szCs w:val="22"/>
        </w:rPr>
        <w:t xml:space="preserve">vial-handling audit records covering single-dose and single-use vials, ampoules and intravenous bags or bottles used for one dose for one patient and discarded even with product remaining, with no pooling or saving of leftover contents</w:t>
      </w:r>
    </w:p>
    <w:p>
      <w:pPr>
        <w:pStyle w:val="ListParagraph"/>
        <w:numPr>
          <w:ilvl w:val="0"/>
          <w:numId w:val="1"/>
        </w:numPr>
        <w:spacing w:after="60"/>
      </w:pPr>
      <w:r>
        <w:rPr>
          <w:sz w:val="22"/>
          <w:szCs w:val="22"/>
        </w:rPr>
        <w:t xml:space="preserve">records showing multi-dose vials avoided where a single-dose presentation exists, dedicated to a single patient wherever possible, and kept out of the immediate patient treatment area</w:t>
      </w:r>
    </w:p>
    <w:p>
      <w:pPr>
        <w:pStyle w:val="ListParagraph"/>
        <w:numPr>
          <w:ilvl w:val="0"/>
          <w:numId w:val="1"/>
        </w:numPr>
        <w:spacing w:after="60"/>
      </w:pPr>
      <w:r>
        <w:rPr>
          <w:sz w:val="22"/>
          <w:szCs w:val="22"/>
        </w:rPr>
        <w:t xml:space="preserve">the record of septum disinfection with 70% alcohol allowed to dry before each entry, and entry only with a sterile needle and sterile syringe</w:t>
      </w:r>
    </w:p>
    <w:p>
      <w:pPr>
        <w:pStyle w:val="ListParagraph"/>
        <w:numPr>
          <w:ilvl w:val="0"/>
          <w:numId w:val="1"/>
        </w:numPr>
        <w:spacing w:after="60"/>
      </w:pPr>
      <w:r>
        <w:rPr>
          <w:sz w:val="22"/>
          <w:szCs w:val="22"/>
        </w:rPr>
        <w:t xml:space="preserve">the date of first entry written on every multi-dose vial, with discard by the manufacturer's stated beyond-use date or immediately where sterility was compromised or in question</w:t>
      </w:r>
    </w:p>
    <w:p>
      <w:pPr>
        <w:pStyle w:val="ListParagraph"/>
        <w:numPr>
          <w:ilvl w:val="0"/>
          <w:numId w:val="1"/>
        </w:numPr>
        <w:spacing w:after="60"/>
      </w:pPr>
      <w:r>
        <w:rPr>
          <w:sz w:val="22"/>
          <w:szCs w:val="22"/>
        </w:rPr>
        <w:t xml:space="preserve">the record that intravenous bags and bottles were not used as a common source of supply for more than one patient</w:t>
      </w:r>
    </w:p>
    <w:p>
      <w:pPr>
        <w:pStyle w:val="ListParagraph"/>
        <w:numPr>
          <w:ilvl w:val="0"/>
          <w:numId w:val="1"/>
        </w:numPr>
        <w:spacing w:after="60"/>
      </w:pPr>
      <w:r>
        <w:rPr>
          <w:sz w:val="22"/>
          <w:szCs w:val="22"/>
        </w:rPr>
        <w:t xml:space="preserve">intravascular device records showing hand hygiene and aseptic technique at insertion and at every access, skin antisepsis with the specified antiseptic allowed to dry fully before puncture, and hub, port or connector disinfection before every access</w:t>
      </w:r>
    </w:p>
    <w:p>
      <w:pPr>
        <w:pStyle w:val="ListParagraph"/>
        <w:numPr>
          <w:ilvl w:val="0"/>
          <w:numId w:val="1"/>
        </w:numPr>
        <w:spacing w:after="60"/>
      </w:pPr>
      <w:r>
        <w:rPr>
          <w:sz w:val="22"/>
          <w:szCs w:val="22"/>
        </w:rPr>
        <w:t xml:space="preserve">the sterile dressing at the insertion site carrying the date of insertion and the date the dressing was applied</w:t>
      </w:r>
    </w:p>
    <w:p>
      <w:pPr>
        <w:pStyle w:val="ListParagraph"/>
        <w:numPr>
          <w:ilvl w:val="0"/>
          <w:numId w:val="1"/>
        </w:numPr>
        <w:spacing w:after="60"/>
      </w:pPr>
      <w:r>
        <w:rPr>
          <w:sz w:val="22"/>
          <w:szCs w:val="22"/>
        </w:rPr>
        <w:t xml:space="preserve">shift-wise site inspection entries in the nursing notes recording redness, swelling, tenderness, discharge or dressing failure, or their absence</w:t>
      </w:r>
    </w:p>
    <w:p>
      <w:pPr>
        <w:pStyle w:val="ListParagraph"/>
        <w:numPr>
          <w:ilvl w:val="0"/>
          <w:numId w:val="1"/>
        </w:numPr>
        <w:spacing w:after="60"/>
      </w:pPr>
      <w:r>
        <w:rPr>
          <w:sz w:val="22"/>
          <w:szCs w:val="22"/>
        </w:rPr>
        <w:t xml:space="preserve">the daily round record of the review of continued need for every intravascular device and the decision taken, with removal as soon as the device was no longer clinically needed</w:t>
      </w:r>
    </w:p>
    <w:p>
      <w:pPr>
        <w:pStyle w:val="ListParagraph"/>
        <w:numPr>
          <w:ilvl w:val="0"/>
          <w:numId w:val="1"/>
        </w:numPr>
        <w:spacing w:after="60"/>
      </w:pPr>
      <w:r>
        <w:rPr>
          <w:sz w:val="22"/>
          <w:szCs w:val="22"/>
        </w:rPr>
        <w:t xml:space="preserve">administration set change records at the frequency defined for each fluid type</w:t>
      </w:r>
    </w:p>
    <w:p>
      <w:pPr>
        <w:pStyle w:val="ListParagraph"/>
        <w:numPr>
          <w:ilvl w:val="0"/>
          <w:numId w:val="1"/>
        </w:numPr>
        <w:spacing w:after="60"/>
      </w:pPr>
      <w:r>
        <w:rPr>
          <w:sz w:val="22"/>
          <w:szCs w:val="22"/>
        </w:rPr>
        <w:t xml:space="preserve">intravascular device insertion and maintenance bundle audit checklists completed at the stated frequency, with results and corrective actions tabled at the ICC</w:t>
      </w:r>
    </w:p>
    <w:p>
      <w:pPr>
        <w:spacing w:after="90" w:before="200"/>
      </w:pPr>
      <w:r>
        <w:rPr>
          <w:b/>
          <w:bCs/>
          <w:sz w:val="22"/>
          <w:szCs w:val="22"/>
        </w:rPr>
        <w:t xml:space="preserve">HIC.2.e — Antimicrobial usage policy is established and documented</w:t>
      </w:r>
    </w:p>
    <w:p>
      <w:pPr>
        <w:pStyle w:val="ListParagraph"/>
        <w:numPr>
          <w:ilvl w:val="0"/>
          <w:numId w:val="1"/>
        </w:numPr>
        <w:spacing w:after="60"/>
      </w:pPr>
      <w:r>
        <w:rPr>
          <w:sz w:val="22"/>
          <w:szCs w:val="22"/>
        </w:rPr>
        <w:t xml:space="preserve">The written antimicrobial usage policy of HMP Foundation, approved by the ICC together with the pharmacy and the medical committee, and issued with a version number, an effective date and a review date on its face</w:t>
      </w:r>
    </w:p>
    <w:p>
      <w:pPr>
        <w:pStyle w:val="ListParagraph"/>
        <w:numPr>
          <w:ilvl w:val="0"/>
          <w:numId w:val="1"/>
        </w:numPr>
        <w:spacing w:after="60"/>
      </w:pPr>
      <w:r>
        <w:rPr>
          <w:sz w:val="22"/>
          <w:szCs w:val="22"/>
        </w:rPr>
        <w:t xml:space="preserve">the approval record itself, showing all three approving bodies</w:t>
      </w:r>
    </w:p>
    <w:p>
      <w:pPr>
        <w:pStyle w:val="ListParagraph"/>
        <w:numPr>
          <w:ilvl w:val="0"/>
          <w:numId w:val="1"/>
        </w:numPr>
        <w:spacing w:after="60"/>
      </w:pPr>
      <w:r>
        <w:rPr>
          <w:sz w:val="22"/>
          <w:szCs w:val="22"/>
        </w:rPr>
        <w:t xml:space="preserve">within the policy, the recommended empirical regimens for the common infection syndromes treated at HMP Foundation, with evidence that they were chosen on the basis of the hospital's own antibiogram rather than on published national averages alone</w:t>
      </w:r>
    </w:p>
    <w:p>
      <w:pPr>
        <w:pStyle w:val="ListParagraph"/>
        <w:numPr>
          <w:ilvl w:val="0"/>
          <w:numId w:val="1"/>
        </w:numPr>
        <w:spacing w:after="60"/>
      </w:pPr>
      <w:r>
        <w:rPr>
          <w:sz w:val="22"/>
          <w:szCs w:val="22"/>
        </w:rPr>
        <w:t xml:space="preserve">the list of restricted antimicrobial agents requiring prior authorisation before dispensing, and the record of who may authorise them</w:t>
      </w:r>
    </w:p>
    <w:p>
      <w:pPr>
        <w:pStyle w:val="ListParagraph"/>
        <w:numPr>
          <w:ilvl w:val="0"/>
          <w:numId w:val="1"/>
        </w:numPr>
        <w:spacing w:after="60"/>
      </w:pPr>
      <w:r>
        <w:rPr>
          <w:sz w:val="22"/>
          <w:szCs w:val="22"/>
        </w:rPr>
        <w:t xml:space="preserve">the criteria and timing for de-escalation from broad-spectrum to narrow-spectrum therapy once culture and sensitivity results are available</w:t>
      </w:r>
    </w:p>
    <w:p>
      <w:pPr>
        <w:pStyle w:val="ListParagraph"/>
        <w:numPr>
          <w:ilvl w:val="0"/>
          <w:numId w:val="1"/>
        </w:numPr>
        <w:spacing w:after="60"/>
      </w:pPr>
      <w:r>
        <w:rPr>
          <w:sz w:val="22"/>
          <w:szCs w:val="22"/>
        </w:rPr>
        <w:t xml:space="preserve">the criteria for switching from intravenous to oral therapy</w:t>
      </w:r>
    </w:p>
    <w:p>
      <w:pPr>
        <w:pStyle w:val="ListParagraph"/>
        <w:numPr>
          <w:ilvl w:val="0"/>
          <w:numId w:val="1"/>
        </w:numPr>
        <w:spacing w:after="60"/>
      </w:pPr>
      <w:r>
        <w:rPr>
          <w:sz w:val="22"/>
          <w:szCs w:val="22"/>
        </w:rPr>
        <w:t xml:space="preserve">the expected duration of therapy for common indications, and the rule that an end date or review date is recorded with every antimicrobial order</w:t>
      </w:r>
    </w:p>
    <w:p>
      <w:pPr>
        <w:pStyle w:val="ListParagraph"/>
        <w:numPr>
          <w:ilvl w:val="0"/>
          <w:numId w:val="1"/>
        </w:numPr>
        <w:spacing w:after="60"/>
      </w:pPr>
      <w:r>
        <w:rPr>
          <w:sz w:val="22"/>
          <w:szCs w:val="22"/>
        </w:rPr>
        <w:t xml:space="preserve">the surgical antimicrobial prophylaxis schedule stating agent, dose, timing before incision, intra-operative re-dosing and the maximum duration after surgery</w:t>
      </w:r>
    </w:p>
    <w:p>
      <w:pPr>
        <w:pStyle w:val="ListParagraph"/>
        <w:numPr>
          <w:ilvl w:val="0"/>
          <w:numId w:val="1"/>
        </w:numPr>
        <w:spacing w:after="60"/>
      </w:pPr>
      <w:r>
        <w:rPr>
          <w:sz w:val="22"/>
          <w:szCs w:val="22"/>
        </w:rPr>
        <w:t xml:space="preserve">the dose adjustment guidance for renal and hepatic impairment</w:t>
      </w:r>
    </w:p>
    <w:p>
      <w:pPr>
        <w:pStyle w:val="ListParagraph"/>
        <w:numPr>
          <w:ilvl w:val="0"/>
          <w:numId w:val="1"/>
        </w:numPr>
        <w:spacing w:after="60"/>
      </w:pPr>
      <w:r>
        <w:rPr>
          <w:sz w:val="22"/>
          <w:szCs w:val="22"/>
        </w:rPr>
        <w:t xml:space="preserve">the requirement to send appropriate cultures before starting antimicrobial therapy wherever the clinical situation allows</w:t>
      </w:r>
    </w:p>
    <w:p>
      <w:pPr>
        <w:pStyle w:val="ListParagraph"/>
        <w:numPr>
          <w:ilvl w:val="0"/>
          <w:numId w:val="1"/>
        </w:numPr>
        <w:spacing w:after="60"/>
      </w:pPr>
      <w:r>
        <w:rPr>
          <w:sz w:val="22"/>
          <w:szCs w:val="22"/>
        </w:rPr>
        <w:t xml:space="preserve">where HMP Foundation has adopted the WHO AWaRe classification, the Access, Watch and Reserve structuring of the agent list and any target set for the proportion of use drawn from the Access group</w:t>
      </w:r>
    </w:p>
    <w:p>
      <w:pPr>
        <w:pStyle w:val="ListParagraph"/>
        <w:numPr>
          <w:ilvl w:val="0"/>
          <w:numId w:val="1"/>
        </w:numPr>
        <w:spacing w:after="60"/>
      </w:pPr>
      <w:r>
        <w:rPr>
          <w:sz w:val="22"/>
          <w:szCs w:val="22"/>
        </w:rPr>
        <w:t xml:space="preserve">evidence that a current copy of the policy is available in every clinical area as a printed quick-reference or on the hospital system, and that the restricted agent list is displayed in each ward and in the pharmacy</w:t>
      </w:r>
    </w:p>
    <w:p>
      <w:pPr>
        <w:pStyle w:val="ListParagraph"/>
        <w:numPr>
          <w:ilvl w:val="0"/>
          <w:numId w:val="1"/>
        </w:numPr>
        <w:spacing w:after="60"/>
      </w:pPr>
      <w:r>
        <w:rPr>
          <w:sz w:val="22"/>
          <w:szCs w:val="22"/>
        </w:rPr>
        <w:t xml:space="preserve">the written acknowledgement of the policy signed by every prescriber at induction</w:t>
      </w:r>
    </w:p>
    <w:p>
      <w:pPr>
        <w:pStyle w:val="ListParagraph"/>
        <w:numPr>
          <w:ilvl w:val="0"/>
          <w:numId w:val="1"/>
        </w:numPr>
        <w:spacing w:after="60"/>
      </w:pPr>
      <w:r>
        <w:rPr>
          <w:sz w:val="22"/>
          <w:szCs w:val="22"/>
        </w:rPr>
        <w:t xml:space="preserve">the cumulative antibiogram produced by the microbiology laboratory at least annually, the ICC minute recording its review, and the revision of the empirical regimens with a new version number and effective date where local resistance patterns had shifted</w:t>
      </w:r>
    </w:p>
    <w:p>
      <w:pPr>
        <w:spacing w:after="90" w:before="200"/>
      </w:pPr>
      <w:r>
        <w:rPr>
          <w:b/>
          <w:bCs/>
          <w:sz w:val="22"/>
          <w:szCs w:val="22"/>
        </w:rPr>
        <w:t xml:space="preserve">HIC.2.f — Implementation and monitoring of the antimicrobial usage policy</w:t>
      </w:r>
    </w:p>
    <w:p>
      <w:pPr>
        <w:pStyle w:val="ListParagraph"/>
        <w:numPr>
          <w:ilvl w:val="0"/>
          <w:numId w:val="1"/>
        </w:numPr>
        <w:spacing w:after="60"/>
      </w:pPr>
      <w:r>
        <w:rPr>
          <w:sz w:val="22"/>
          <w:szCs w:val="22"/>
        </w:rPr>
        <w:t xml:space="preserve">Antimicrobial orders evidencing that each records the indication, the dose, the route and either a stop date or a review date</w:t>
      </w:r>
    </w:p>
    <w:p>
      <w:pPr>
        <w:pStyle w:val="ListParagraph"/>
        <w:numPr>
          <w:ilvl w:val="0"/>
          <w:numId w:val="1"/>
        </w:numPr>
        <w:spacing w:after="60"/>
      </w:pPr>
      <w:r>
        <w:rPr>
          <w:sz w:val="22"/>
          <w:szCs w:val="22"/>
        </w:rPr>
        <w:t xml:space="preserve">the ward pharmacist's query records for orders presented without those elements, showing the query was raised before dispensing rather than after</w:t>
      </w:r>
    </w:p>
    <w:p>
      <w:pPr>
        <w:pStyle w:val="ListParagraph"/>
        <w:numPr>
          <w:ilvl w:val="0"/>
          <w:numId w:val="1"/>
        </w:numPr>
        <w:spacing w:after="60"/>
      </w:pPr>
      <w:r>
        <w:rPr>
          <w:sz w:val="22"/>
          <w:szCs w:val="22"/>
        </w:rPr>
        <w:t xml:space="preserve">the restricted antimicrobial approval register capturing the prescriber, the patient identifier, the agent, the indication, the authorising person and the date, with evidence that restricted agents were dispensed only against a recorded authorisation</w:t>
      </w:r>
    </w:p>
    <w:p>
      <w:pPr>
        <w:pStyle w:val="ListParagraph"/>
        <w:numPr>
          <w:ilvl w:val="0"/>
          <w:numId w:val="1"/>
        </w:numPr>
        <w:spacing w:after="60"/>
      </w:pPr>
      <w:r>
        <w:rPr>
          <w:sz w:val="22"/>
          <w:szCs w:val="22"/>
        </w:rPr>
        <w:t xml:space="preserve">pharmacy consumption reports by ward and by drug class at the stated frequency, expressed in defined daily doses per 100 bed-days using the WHO ATC/DDD methodology so that figures are comparable between wards and over time</w:t>
      </w:r>
    </w:p>
    <w:p>
      <w:pPr>
        <w:pStyle w:val="ListParagraph"/>
        <w:numPr>
          <w:ilvl w:val="0"/>
          <w:numId w:val="1"/>
        </w:numPr>
        <w:spacing w:after="60"/>
      </w:pPr>
      <w:r>
        <w:rPr>
          <w:sz w:val="22"/>
          <w:szCs w:val="22"/>
        </w:rPr>
        <w:t xml:space="preserve">prescription audit records for a random sample of inpatient case records per clinical area, at the stated sample size and frequency, assessing whether the choice of agent, the dose, the route and the duration matched the policy and whether cultures were sent before therapy started</w:t>
      </w:r>
    </w:p>
    <w:p>
      <w:pPr>
        <w:pStyle w:val="ListParagraph"/>
        <w:numPr>
          <w:ilvl w:val="0"/>
          <w:numId w:val="1"/>
        </w:numPr>
        <w:spacing w:after="60"/>
      </w:pPr>
      <w:r>
        <w:rPr>
          <w:sz w:val="22"/>
          <w:szCs w:val="22"/>
        </w:rPr>
        <w:t xml:space="preserve">the audit register holding those findings, and the dated record of feedback given to the individual prescriber within the stated interval</w:t>
      </w:r>
    </w:p>
    <w:p>
      <w:pPr>
        <w:pStyle w:val="ListParagraph"/>
        <w:numPr>
          <w:ilvl w:val="0"/>
          <w:numId w:val="1"/>
        </w:numPr>
        <w:spacing w:after="60"/>
      </w:pPr>
      <w:r>
        <w:rPr>
          <w:sz w:val="22"/>
          <w:szCs w:val="22"/>
        </w:rPr>
        <w:t xml:space="preserve">the ICC minute for every meeting recording consumption trends, audit findings, resistance patterns and the outcome of previous corrective actions</w:t>
      </w:r>
    </w:p>
    <w:p>
      <w:pPr>
        <w:pStyle w:val="ListParagraph"/>
        <w:numPr>
          <w:ilvl w:val="0"/>
          <w:numId w:val="1"/>
        </w:numPr>
        <w:spacing w:after="60"/>
      </w:pPr>
      <w:r>
        <w:rPr>
          <w:sz w:val="22"/>
          <w:szCs w:val="22"/>
        </w:rPr>
        <w:t xml:space="preserve">named corrective actions arising from the audits, each with an owner and a due date, and the verification of closure at the following meeting</w:t>
      </w:r>
    </w:p>
    <w:p>
      <w:pPr>
        <w:pStyle w:val="ListParagraph"/>
        <w:numPr>
          <w:ilvl w:val="0"/>
          <w:numId w:val="1"/>
        </w:numPr>
        <w:spacing w:after="60"/>
      </w:pPr>
      <w:r>
        <w:rPr>
          <w:sz w:val="22"/>
          <w:szCs w:val="22"/>
        </w:rPr>
        <w:t xml:space="preserve">evidence that the empirical regimens were revised where the audit or the antibiogram showed the policy no longer matched local resistance</w:t>
      </w:r>
    </w:p>
    <w:p>
      <w:pPr>
        <w:spacing w:after="90" w:before="200"/>
      </w:pPr>
      <w:r>
        <w:rPr>
          <w:b/>
          <w:bCs/>
          <w:sz w:val="22"/>
          <w:szCs w:val="22"/>
        </w:rPr>
        <w:t xml:space="preserve">HIC.2.g — Antibiotic stewardship programme (Excellence level)</w:t>
      </w:r>
    </w:p>
    <w:p>
      <w:pPr>
        <w:pStyle w:val="ListParagraph"/>
        <w:numPr>
          <w:ilvl w:val="0"/>
          <w:numId w:val="1"/>
        </w:numPr>
        <w:spacing w:after="60"/>
      </w:pPr>
      <w:r>
        <w:rPr>
          <w:sz w:val="22"/>
          <w:szCs w:val="22"/>
        </w:rPr>
        <w:t xml:space="preserve">The recorded position of HMP Foundation that a stewardship programme sits at Excellence level within this standard, is above the baseline expected of every organisation, and calls for a functioning programme rather than of itself requiring a standing committee</w:t>
      </w:r>
    </w:p>
    <w:p>
      <w:pPr>
        <w:pStyle w:val="ListParagraph"/>
        <w:numPr>
          <w:ilvl w:val="0"/>
          <w:numId w:val="1"/>
        </w:numPr>
        <w:spacing w:after="60"/>
      </w:pPr>
      <w:r>
        <w:rPr>
          <w:sz w:val="22"/>
          <w:szCs w:val="22"/>
        </w:rPr>
        <w:t xml:space="preserve">the written charter of the Antimicrobial Stewardship Team stating its purpose, membership, authority and measurable goals, with the baseline values and targets adopted</w:t>
      </w:r>
    </w:p>
    <w:p>
      <w:pPr>
        <w:pStyle w:val="ListParagraph"/>
        <w:numPr>
          <w:ilvl w:val="0"/>
          <w:numId w:val="1"/>
        </w:numPr>
        <w:spacing w:after="60"/>
      </w:pPr>
      <w:r>
        <w:rPr>
          <w:sz w:val="22"/>
          <w:szCs w:val="22"/>
        </w:rPr>
        <w:t xml:space="preserve">the written commitment of senior management of HMP Foundation to the staff time, information technology and budget the programme requires</w:t>
      </w:r>
    </w:p>
    <w:p>
      <w:pPr>
        <w:pStyle w:val="ListParagraph"/>
        <w:numPr>
          <w:ilvl w:val="0"/>
          <w:numId w:val="1"/>
        </w:numPr>
        <w:spacing w:after="60"/>
      </w:pPr>
      <w:r>
        <w:rPr>
          <w:sz w:val="22"/>
          <w:szCs w:val="22"/>
        </w:rPr>
        <w:t xml:space="preserve">the record naming the single leader accountable for the programme's outcomes, together with the AST membership, its lead, its meeting frequency and its quorum, evidencing a lead with infectious disease or microbiology expertise and the inclusion of a clinical pharmacist and the ICN</w:t>
      </w:r>
    </w:p>
    <w:p>
      <w:pPr>
        <w:pStyle w:val="ListParagraph"/>
        <w:numPr>
          <w:ilvl w:val="0"/>
          <w:numId w:val="1"/>
        </w:numPr>
        <w:spacing w:after="60"/>
      </w:pPr>
      <w:r>
        <w:rPr>
          <w:sz w:val="22"/>
          <w:szCs w:val="22"/>
        </w:rPr>
        <w:t xml:space="preserve">the record naming the pharmacist who co-leads improvement in antimicrobial use</w:t>
      </w:r>
    </w:p>
    <w:p>
      <w:pPr>
        <w:pStyle w:val="ListParagraph"/>
        <w:numPr>
          <w:ilvl w:val="0"/>
          <w:numId w:val="1"/>
        </w:numPr>
        <w:spacing w:after="60"/>
      </w:pPr>
      <w:r>
        <w:rPr>
          <w:sz w:val="22"/>
          <w:szCs w:val="22"/>
        </w:rPr>
        <w:t xml:space="preserve">prospective audit and feedback records showing review of every patient still receiving antimicrobial therapy beyond 72 hours, with the written recommendation issued to the prescriber and filed in the record</w:t>
      </w:r>
    </w:p>
    <w:p>
      <w:pPr>
        <w:pStyle w:val="ListParagraph"/>
        <w:numPr>
          <w:ilvl w:val="0"/>
          <w:numId w:val="1"/>
        </w:numPr>
        <w:spacing w:after="60"/>
      </w:pPr>
      <w:r>
        <w:rPr>
          <w:sz w:val="22"/>
          <w:szCs w:val="22"/>
        </w:rPr>
        <w:t xml:space="preserve">documented antibiotic time-out at 48 to 72 hours for every patient on antimicrobials, recording the reassessment of therapy against culture results</w:t>
      </w:r>
    </w:p>
    <w:p>
      <w:pPr>
        <w:pStyle w:val="ListParagraph"/>
        <w:numPr>
          <w:ilvl w:val="0"/>
          <w:numId w:val="1"/>
        </w:numPr>
        <w:spacing w:after="60"/>
      </w:pPr>
      <w:r>
        <w:rPr>
          <w:sz w:val="22"/>
          <w:szCs w:val="22"/>
        </w:rPr>
        <w:t xml:space="preserve">process measure tracking covering adherence to the policy, documentation of indication and duration, and time-out completion</w:t>
      </w:r>
    </w:p>
    <w:p>
      <w:pPr>
        <w:pStyle w:val="ListParagraph"/>
        <w:numPr>
          <w:ilvl w:val="0"/>
          <w:numId w:val="1"/>
        </w:numPr>
        <w:spacing w:after="60"/>
      </w:pPr>
      <w:r>
        <w:rPr>
          <w:sz w:val="22"/>
          <w:szCs w:val="22"/>
        </w:rPr>
        <w:t xml:space="preserve">outcome measure tracking covering defined daily doses per 100 bed-days, restricted agent use, rates of Clostridioides difficile infection and of resistant organisms, and culture positivity</w:t>
      </w:r>
    </w:p>
    <w:p>
      <w:pPr>
        <w:pStyle w:val="ListParagraph"/>
        <w:numPr>
          <w:ilvl w:val="0"/>
          <w:numId w:val="1"/>
        </w:numPr>
        <w:spacing w:after="60"/>
      </w:pPr>
      <w:r>
        <w:rPr>
          <w:sz w:val="22"/>
          <w:szCs w:val="22"/>
        </w:rPr>
        <w:t xml:space="preserve">trend reports issued to prescribers and to hospital leadership at the stated frequency and at least quarterly, with evidence of receipt</w:t>
      </w:r>
    </w:p>
    <w:p>
      <w:pPr>
        <w:pStyle w:val="ListParagraph"/>
        <w:numPr>
          <w:ilvl w:val="0"/>
          <w:numId w:val="1"/>
        </w:numPr>
        <w:spacing w:after="60"/>
      </w:pPr>
      <w:r>
        <w:rPr>
          <w:sz w:val="22"/>
          <w:szCs w:val="22"/>
        </w:rPr>
        <w:t xml:space="preserve">education records for prescribers, nurses and pharmacists on resistance and optimal prescribing, with attendance recorded</w:t>
      </w:r>
    </w:p>
    <w:p>
      <w:pPr>
        <w:pStyle w:val="ListParagraph"/>
        <w:numPr>
          <w:ilvl w:val="0"/>
          <w:numId w:val="1"/>
        </w:numPr>
        <w:spacing w:after="60"/>
      </w:pPr>
      <w:r>
        <w:rPr>
          <w:sz w:val="22"/>
          <w:szCs w:val="22"/>
        </w:rPr>
        <w:t xml:space="preserve">AST meeting records evidencing that the programme runs at least one intervention with a documented method, and the measured movement against the charter's stated goals</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01-08-2026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master template. It has been prepared as a general, standards-aligned starting point and is not a ready-to-use policy for any particular organisation.
HMP Foundation must review this document in full and adapt it to its own scope of services, physical infrastructure, staffing, equipment, patient profile and local regulatory position before adopting it. Every entry marked "[Hospital to define]" must be replaced with the hospital's own decision; a document issued with those markers left in place is not a valid policy and does not evidence compliance.
The clinical and technical content reflects recognised international guidance and Indian regulation current at the date of preparation. Guidance and regulation change. HMP Foundation is responsible for confirming that the referenced sources remain current at the time of adoption and at each review.
Adopting this template does not by itself establish compliance with any accreditation standard. Compliance is established by what HMP Foundation actually does and by the records it maintains, and is judged by the accrediting body — not by the existence of this document.
No text in this document has been reproduced from any NABH publication. Any resemblance in structure to accreditation documentation reflects common professional document conventions, not reproduction of copyrighted content.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HMP/HIC/POL-2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2026-08-17T04:06:49.137Z</dcterms:created>
  <dcterms:modified xsi:type="dcterms:W3CDTF">2026-08-17T04:06:49.137Z</dcterms:modified>
</cp:coreProperties>
</file>

<file path=docProps/custom.xml><?xml version="1.0" encoding="utf-8"?>
<Properties xmlns="http://schemas.openxmlformats.org/officeDocument/2006/custom-properties" xmlns:vt="http://schemas.openxmlformats.org/officeDocument/2006/docPropsVTypes"/>
</file>